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Fonts w:ascii="Times New Roman" w:cs="Times New Roman" w:hAnsi="Times New Roman"/>
          <w:b/>
          <w:sz w:val="24"/>
          <w:szCs w:val="24"/>
        </w:rPr>
        <w:t>BAHÇELİK SULAMA BİRLİĞİ</w:t>
      </w:r>
    </w:p>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8"/>
        <w:jc w:val="center"/>
      </w:pPr>
      <w:r>
        <w:rPr/>
      </w:r>
    </w:p>
    <w:p>
      <w:pPr>
        <w:pStyle w:val="style38"/>
        <w:jc w:val="center"/>
      </w:pPr>
      <w:r>
        <w:rPr/>
      </w:r>
    </w:p>
    <w:p>
      <w:pPr>
        <w:pStyle w:val="style38"/>
        <w:jc w:val="center"/>
      </w:pPr>
      <w:r>
        <w:rPr/>
      </w:r>
    </w:p>
    <w:p>
      <w:pPr>
        <w:pStyle w:val="style38"/>
        <w:ind w:firstLine="708" w:left="0" w:right="0"/>
        <w:jc w:val="both"/>
      </w:pPr>
      <w:r>
        <w:rPr>
          <w:rFonts w:ascii="Times New Roman" w:cs="Times New Roman" w:hAnsi="Times New Roman"/>
          <w:sz w:val="24"/>
          <w:szCs w:val="24"/>
        </w:rPr>
        <w:t>Kayseri Valilik Makamı'nın 02.12.2015 tarih ve 15693 sayılı  Oluru ile 6172 Sayılı Sulama Birlikleri Kanunu’nun 18. Maddesi  gereğince; Bahçelik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 İl Gıda Tarım ve Hayvancılık Müdürlüğü Ziraat Mühendisi Arif ÇAĞLAYAN tarafından  yapılmıştır.</w:t>
      </w:r>
    </w:p>
    <w:p>
      <w:pPr>
        <w:pStyle w:val="style38"/>
        <w:jc w:val="both"/>
      </w:pPr>
      <w:r>
        <w:rPr/>
      </w:r>
    </w:p>
    <w:p>
      <w:pPr>
        <w:pStyle w:val="style38"/>
        <w:ind w:firstLine="708" w:left="0" w:right="0"/>
        <w:jc w:val="both"/>
      </w:pPr>
      <w:r>
        <w:rPr>
          <w:rFonts w:ascii="Times New Roman" w:cs="Times New Roman" w:hAnsi="Times New Roman"/>
          <w:b/>
          <w:sz w:val="24"/>
          <w:szCs w:val="24"/>
        </w:rPr>
        <w:t>ÖNCEKİ DENETİM:</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Bahçelik Sulama Birliğinin 6172 Sayılı Kanun gereği Vali Yardımcısı Başkanlığınca oluşturulan komisyonca 2013-2014 yılı “ İdari ve Mali” denetimlerinin yapıldığı, ayrıca DSİ İç Denetim Birimi Başkanlığı elemanlarınca 2015 yılında İdari ve Teknik Denetime tabi tutulduğu belirlenmiştir.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BİRLİĞİN ÜYELERİ VE KURULUŞ:</w:t>
      </w:r>
    </w:p>
    <w:p>
      <w:pPr>
        <w:pStyle w:val="style38"/>
        <w:ind w:firstLine="708" w:left="0" w:right="0"/>
        <w:jc w:val="both"/>
      </w:pPr>
      <w:r>
        <w:rPr>
          <w:rFonts w:ascii="Times New Roman" w:cs="Times New Roman" w:hAnsi="Times New Roman"/>
          <w:b/>
          <w:sz w:val="24"/>
          <w:szCs w:val="24"/>
        </w:rPr>
        <w:t xml:space="preserve"> </w:t>
      </w:r>
    </w:p>
    <w:p>
      <w:pPr>
        <w:pStyle w:val="style38"/>
        <w:ind w:firstLine="708" w:left="0" w:right="0"/>
        <w:jc w:val="both"/>
      </w:pPr>
      <w:r>
        <w:rPr>
          <w:rFonts w:ascii="Times New Roman" w:cs="Times New Roman" w:hAnsi="Times New Roman"/>
          <w:sz w:val="24"/>
          <w:szCs w:val="24"/>
        </w:rPr>
        <w:t>6172 Sayılı Sulama Birliği kanunun yürürlüğe girmesinden sonra Birlik Ana Statüsünün 14.03.2013 tarihinde Orman ve Su İşleri Bakanlığının Olur’u   ile yürürlüğe girdiği  ve  Pınarbaşı İlçe  Seçim  Kurulu  tarafından 07.10.2013 tarihinde yapılan  meclis  üyeliği  seçimi  ile  meclislerinin  oluşturulduğu, 11.10.2013 tarihinde yapılan  ilk meclis toplantıları  ile  yönetim  organlarını  oluşturarak  6172 sayılı yasa hükmüne uygun olarak  sulama birliğinin faaliyetlerine başladığı anlaşılmıştır.</w:t>
      </w:r>
    </w:p>
    <w:p>
      <w:pPr>
        <w:pStyle w:val="style38"/>
        <w:ind w:firstLine="708" w:left="0" w:right="0"/>
        <w:jc w:val="both"/>
      </w:pPr>
      <w:r>
        <w:rPr>
          <w:rFonts w:ascii="Times New Roman" w:cs="Times New Roman" w:hAnsi="Times New Roman"/>
          <w:sz w:val="24"/>
          <w:szCs w:val="24"/>
        </w:rPr>
        <w:t xml:space="preserve">Birlik  görev  alanı  içerisindeki  her yerleşim  birimi  birlik meclisinde asgari iki üye ile temsil edilir.”hükmü gereğince   Birlik Meclisi sayısının tespitinde Pınarbaşı İlçesine bağlı Bahçelik (2), Pazarören (2), Esenköy (2), Tokmak (2), Yarımtepe (2), Oğuzlar(2), Kızılhan (2), Kılıçkışla (2), Kızıldere(2), Altıparmak (2) Mahalleleri ile Bünyan İlçesine bağlı Samağır(2), Köprübaşı(2) Mahallelerinin   sulama  alanları baz  alınarak  hesaplama  yapıldığı  ve  meclis  üye  sayısının  24  olarak  belirlendiği  ancak seçim sonuçlarına göre 18 seçilmiş üye olduğu belirlenmiştir. </w:t>
      </w:r>
    </w:p>
    <w:p>
      <w:pPr>
        <w:pStyle w:val="style38"/>
        <w:ind w:hanging="0" w:left="0" w:right="0"/>
        <w:jc w:val="both"/>
      </w:pPr>
      <w:r>
        <w:rPr>
          <w:rFonts w:ascii="Times New Roman" w:cs="Times New Roman" w:hAnsi="Times New Roman"/>
          <w:sz w:val="24"/>
          <w:szCs w:val="24"/>
        </w:rPr>
        <w:tab/>
        <w:t>Sulama Birliğinin sorumluluğunda bulunan işletmeye açılmış toplam sulama alanı net 3415 ha.dır.</w:t>
      </w:r>
    </w:p>
    <w:p>
      <w:pPr>
        <w:pStyle w:val="style38"/>
        <w:ind w:hanging="0" w:left="0" w:right="0"/>
        <w:jc w:val="both"/>
      </w:pPr>
      <w:r>
        <w:rPr>
          <w:rFonts w:ascii="Times New Roman" w:cs="Times New Roman" w:hAnsi="Times New Roman"/>
          <w:sz w:val="24"/>
          <w:szCs w:val="24"/>
        </w:rPr>
        <w:tab/>
        <w:t xml:space="preserve">Üye kayıt defterinin incelenmesi neticesinde 436 kayıtlı üyenin olduğu, tapu ve kimlik fotokopileri ile bu bilgileri içeren üye başvuru formlarının klasörlerde düzenli bir şekilde bulunduğu görülmüştür. </w:t>
      </w:r>
    </w:p>
    <w:p>
      <w:pPr>
        <w:pStyle w:val="style38"/>
        <w:jc w:val="both"/>
      </w:pPr>
      <w:r>
        <w:rPr>
          <w:rFonts w:ascii="Times New Roman" w:cs="Times New Roman" w:hAnsi="Times New Roman"/>
          <w:sz w:val="24"/>
          <w:szCs w:val="24"/>
        </w:rPr>
        <w:tab/>
      </w:r>
    </w:p>
    <w:p>
      <w:pPr>
        <w:pStyle w:val="style38"/>
        <w:ind w:firstLine="708" w:left="0" w:right="0"/>
        <w:jc w:val="both"/>
      </w:pPr>
      <w:r>
        <w:rPr>
          <w:rFonts w:ascii="Times New Roman" w:cs="Times New Roman" w:hAnsi="Times New Roman"/>
          <w:sz w:val="24"/>
          <w:szCs w:val="24"/>
        </w:rPr>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b/>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İbrahim ÜLKER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Erdal DURMUŞ</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Celil ŞAHAN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Mehmet DURAN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Fazlı ŞAHAN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Faruk CEYLAN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Recep ÇADIR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Turhan ÖZER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Metin BİROL</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Erol ÇOLAK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Tural ALTUNER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Ahmet 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bl>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BAŞKANI: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Başkanlığına11.10.2013 Tarihinde Birlik Meclisi Toplantısında yapılan seçimle İbrahim ÜLKER seçilmiştir. 05.11.2015 tarihinde de Başkan vekili olarak Erdal DURMUŞ tayin edilmiştir.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BİRLİK PERSONELİ: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2015 yılında 2 daimi, 1 adet geçici olmak üzere toplam 3 adet personel çalıştırılmış olup, bunlardan birlik müdürü Halil YAVUZ ile iş sözleşmesi yapılmış olup, diğerleri ile iş sözleşmesinin yapılmadığı tespit edilmiştir. Personel Bilgileri aşağıya çıkarılmıştır. </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19"/>
        <w:gridCol w:w="2212"/>
        <w:gridCol w:w="1852"/>
        <w:gridCol w:w="2136"/>
        <w:gridCol w:w="1425"/>
        <w:gridCol w:w="1718"/>
      </w:tblGrid>
      <w:tr>
        <w:trPr>
          <w:trHeight w:hRule="atLeast" w:val="552"/>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ADI SOYADI</w:t>
            </w:r>
          </w:p>
        </w:tc>
        <w:tc>
          <w:tcPr>
            <w:tcW w:type="dxa" w:w="18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ÜNVANI</w:t>
            </w:r>
          </w:p>
        </w:tc>
        <w:tc>
          <w:tcPr>
            <w:tcW w:type="dxa" w:w="21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İŞE GİRİŞ TARİHİ</w:t>
            </w:r>
          </w:p>
        </w:tc>
        <w:tc>
          <w:tcPr>
            <w:tcW w:type="dxa" w:w="17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İŞTEN ÇIKIŞ TARİHİ</w:t>
            </w:r>
          </w:p>
        </w:tc>
      </w:tr>
      <w:tr>
        <w:trPr>
          <w:trHeight w:hRule="atLeast" w:val="552"/>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w:t>
            </w:r>
          </w:p>
        </w:tc>
        <w:tc>
          <w:tcPr>
            <w:tcW w:type="dxa" w:w="22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Halil YAVUZ</w:t>
            </w:r>
          </w:p>
        </w:tc>
        <w:tc>
          <w:tcPr>
            <w:tcW w:type="dxa" w:w="18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 Su Ürünleri Müh.</w:t>
            </w:r>
          </w:p>
        </w:tc>
        <w:tc>
          <w:tcPr>
            <w:tcW w:type="dxa" w:w="21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Birlik Müdürü</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24.12.2015</w:t>
            </w:r>
          </w:p>
        </w:tc>
        <w:tc>
          <w:tcPr>
            <w:tcW w:type="dxa" w:w="17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w:t>
            </w:r>
          </w:p>
        </w:tc>
        <w:tc>
          <w:tcPr>
            <w:tcW w:type="dxa" w:w="22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Esra ALDOĞAN</w:t>
            </w:r>
          </w:p>
        </w:tc>
        <w:tc>
          <w:tcPr>
            <w:tcW w:type="dxa" w:w="18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Ön Lisans</w:t>
            </w:r>
          </w:p>
        </w:tc>
        <w:tc>
          <w:tcPr>
            <w:tcW w:type="dxa" w:w="21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Sayman</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03.06.2015</w:t>
            </w:r>
          </w:p>
        </w:tc>
        <w:tc>
          <w:tcPr>
            <w:tcW w:type="dxa" w:w="17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3</w:t>
            </w:r>
          </w:p>
        </w:tc>
        <w:tc>
          <w:tcPr>
            <w:tcW w:type="dxa" w:w="22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Şenol AKÇALI</w:t>
            </w:r>
          </w:p>
        </w:tc>
        <w:tc>
          <w:tcPr>
            <w:tcW w:type="dxa" w:w="18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Lise</w:t>
            </w:r>
          </w:p>
        </w:tc>
        <w:tc>
          <w:tcPr>
            <w:tcW w:type="dxa" w:w="21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Sulama Personeli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mevsimlik</w:t>
            </w:r>
          </w:p>
        </w:tc>
        <w:tc>
          <w:tcPr>
            <w:tcW w:type="dxa" w:w="17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r>
    </w:tbl>
    <w:p>
      <w:pPr>
        <w:pStyle w:val="style38"/>
        <w:jc w:val="both"/>
      </w:pPr>
      <w:r>
        <w:rPr/>
      </w:r>
    </w:p>
    <w:p>
      <w:pPr>
        <w:pStyle w:val="style38"/>
        <w:ind w:firstLine="708" w:left="0" w:right="0"/>
        <w:jc w:val="both"/>
      </w:pPr>
      <w:r>
        <w:rPr>
          <w:rFonts w:ascii="Times New Roman" w:cs="Times New Roman" w:hAnsi="Times New Roman"/>
          <w:b/>
          <w:sz w:val="24"/>
          <w:szCs w:val="24"/>
        </w:rPr>
        <w:t xml:space="preserve">TAŞINMAZ MAL DURUMU: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idari faaliyetlerinin Pazarören Mahallesi Eski Belediye Binası Pınarbaşı/KAYSERİ bürosundan yürütüldüğü tespit edilmiştir.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ARAÇ GEREÇ VE İŞ MAKİNELERİ DURUMU: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Taşınır mal kayıtlarının bilgisayar ortamında tutulduğu ve ayrı bir dosyada muhafaza edildiği, demirbaş eşyalara numara verildiği, ancak zimmet kayıtlarının yapılmadığı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Birliğe ait araçlar; </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761"/>
        <w:gridCol w:w="2356"/>
        <w:gridCol w:w="1368"/>
        <w:gridCol w:w="1073"/>
        <w:gridCol w:w="2396"/>
        <w:gridCol w:w="1507"/>
      </w:tblGrid>
      <w:tr>
        <w:trPr>
          <w:trHeight w:hRule="atLeast" w:val="307"/>
          <w:cantSplit w:val="false"/>
        </w:trPr>
        <w:tc>
          <w:tcPr>
            <w:tcW w:type="dxa" w:w="7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35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CİNSİ</w:t>
            </w:r>
          </w:p>
        </w:tc>
        <w:tc>
          <w:tcPr>
            <w:tcW w:type="dxa" w:w="136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MARKASI</w:t>
            </w:r>
          </w:p>
        </w:tc>
        <w:tc>
          <w:tcPr>
            <w:tcW w:type="dxa" w:w="107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MODELİ</w:t>
            </w:r>
          </w:p>
        </w:tc>
        <w:tc>
          <w:tcPr>
            <w:tcW w:type="dxa" w:w="239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DURUMU</w:t>
            </w:r>
          </w:p>
        </w:tc>
        <w:tc>
          <w:tcPr>
            <w:tcW w:type="dxa" w:w="150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PLAKASI</w:t>
            </w:r>
          </w:p>
        </w:tc>
      </w:tr>
      <w:tr>
        <w:trPr>
          <w:trHeight w:hRule="atLeast" w:val="307"/>
          <w:cantSplit w:val="false"/>
        </w:trPr>
        <w:tc>
          <w:tcPr>
            <w:tcW w:type="dxa" w:w="76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w:t>
            </w:r>
          </w:p>
        </w:tc>
        <w:tc>
          <w:tcPr>
            <w:tcW w:type="dxa" w:w="235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OTOMOBİL</w:t>
            </w:r>
          </w:p>
        </w:tc>
        <w:tc>
          <w:tcPr>
            <w:tcW w:type="dxa" w:w="136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LADA</w:t>
            </w:r>
          </w:p>
        </w:tc>
        <w:tc>
          <w:tcPr>
            <w:tcW w:type="dxa" w:w="10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2003</w:t>
            </w:r>
          </w:p>
        </w:tc>
        <w:tc>
          <w:tcPr>
            <w:tcW w:type="dxa" w:w="239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5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E 1148</w:t>
            </w:r>
          </w:p>
        </w:tc>
      </w:tr>
    </w:tbl>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2015 YILI GELİR ve GİDER BÜTÇESİ: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2015 Yılı Toplam Geliri :           404.663,66 TL</w:t>
      </w:r>
    </w:p>
    <w:p>
      <w:pPr>
        <w:pStyle w:val="style38"/>
        <w:ind w:firstLine="708" w:left="0" w:right="0"/>
        <w:jc w:val="both"/>
      </w:pPr>
      <w:r>
        <w:rPr>
          <w:rFonts w:ascii="Times New Roman" w:cs="Times New Roman" w:hAnsi="Times New Roman"/>
          <w:sz w:val="24"/>
          <w:szCs w:val="24"/>
        </w:rPr>
        <w:t xml:space="preserve">2015 Yılı Toplam Gideri :          374.871,23 TL </w:t>
      </w:r>
    </w:p>
    <w:p>
      <w:pPr>
        <w:pStyle w:val="style38"/>
        <w:ind w:firstLine="708" w:left="0" w:right="0"/>
        <w:jc w:val="both"/>
      </w:pPr>
      <w:r>
        <w:rPr>
          <w:rFonts w:ascii="Times New Roman" w:cs="Times New Roman" w:hAnsi="Times New Roman"/>
          <w:sz w:val="24"/>
          <w:szCs w:val="24"/>
        </w:rPr>
        <w:t>2015 yılı Tahmini Bütçeleri :  1.233.000,00 TL olup ödenek üstü harcama yapılmamıştır.</w:t>
      </w:r>
    </w:p>
    <w:p>
      <w:pPr>
        <w:pStyle w:val="style38"/>
        <w:ind w:firstLine="708" w:left="0" w:right="0"/>
        <w:jc w:val="both"/>
      </w:pPr>
      <w:r>
        <w:rPr>
          <w:rFonts w:ascii="Times New Roman" w:cs="Times New Roman" w:hAnsi="Times New Roman"/>
          <w:sz w:val="24"/>
          <w:szCs w:val="24"/>
        </w:rPr>
        <w:t>2015 Yılı Gelir Tahakkuku :      537.668,28 TL,</w:t>
      </w:r>
    </w:p>
    <w:p>
      <w:pPr>
        <w:pStyle w:val="style38"/>
        <w:jc w:val="both"/>
      </w:pPr>
      <w:r>
        <w:rPr>
          <w:rFonts w:ascii="Times New Roman" w:cs="Times New Roman" w:hAnsi="Times New Roman"/>
          <w:sz w:val="24"/>
          <w:szCs w:val="24"/>
        </w:rPr>
        <w:tab/>
        <w:t>2015 Yılı Net Tahsilatı :            404.663,66 TL,</w:t>
      </w:r>
    </w:p>
    <w:p>
      <w:pPr>
        <w:pStyle w:val="style38"/>
        <w:jc w:val="both"/>
      </w:pPr>
      <w:r>
        <w:rPr>
          <w:rFonts w:ascii="Times New Roman" w:cs="Times New Roman" w:hAnsi="Times New Roman"/>
          <w:sz w:val="24"/>
          <w:szCs w:val="24"/>
        </w:rPr>
        <w:t xml:space="preserve">            </w:t>
      </w:r>
      <w:r>
        <w:rPr>
          <w:rFonts w:ascii="Times New Roman" w:cs="Times New Roman" w:hAnsi="Times New Roman"/>
          <w:sz w:val="24"/>
          <w:szCs w:val="24"/>
        </w:rPr>
        <w:t>Gelecek yıllara devreden tahakkuklar :133.821,24 TL olarak gerçekleşmiştir.</w:t>
      </w:r>
    </w:p>
    <w:p>
      <w:pPr>
        <w:pStyle w:val="style38"/>
        <w:jc w:val="both"/>
      </w:pPr>
      <w:r>
        <w:rPr/>
      </w:r>
    </w:p>
    <w:p>
      <w:pPr>
        <w:pStyle w:val="style38"/>
        <w:jc w:val="both"/>
      </w:pPr>
      <w:r>
        <w:rPr/>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17"/>
        <w:gridCol w:w="4971"/>
        <w:gridCol w:w="1816"/>
      </w:tblGrid>
      <w:tr>
        <w:trPr>
          <w:trHeight w:hRule="atLeast" w:val="315"/>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7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1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Teşebbüs ve Mülkiyet Gelirleri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201.947,32</w:t>
            </w:r>
          </w:p>
        </w:tc>
      </w:tr>
      <w:tr>
        <w:trPr>
          <w:trHeight w:hRule="atLeast" w:val="315"/>
          <w:cantSplit w:val="false"/>
        </w:trPr>
        <w:tc>
          <w:tcPr>
            <w:tcW w:type="dxa" w:w="81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Alınan Bağış ve Yardımlar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6.500,00</w:t>
            </w:r>
          </w:p>
        </w:tc>
      </w:tr>
      <w:tr>
        <w:trPr>
          <w:trHeight w:hRule="atLeast" w:val="315"/>
          <w:cantSplit w:val="false"/>
        </w:trPr>
        <w:tc>
          <w:tcPr>
            <w:tcW w:type="dxa" w:w="81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Çeşitli Gelirler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196.216,34</w:t>
            </w:r>
          </w:p>
        </w:tc>
      </w:tr>
      <w:tr>
        <w:trPr>
          <w:trHeight w:hRule="atLeast" w:val="315"/>
          <w:cantSplit w:val="false"/>
        </w:trPr>
        <w:tc>
          <w:tcPr>
            <w:tcW w:type="dxa" w:w="81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404.663,66</w:t>
            </w:r>
          </w:p>
        </w:tc>
      </w:tr>
    </w:tbl>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237.500,49</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16.613,36</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67.210,04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15.883,40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Cari Transferler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2.500,00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6</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Sermaye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35.163,94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                                                </w:t>
            </w: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374.871,23</w:t>
            </w:r>
          </w:p>
        </w:tc>
      </w:tr>
    </w:tbl>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Şeklinde gerçekleştiği tespit edilmiştir.</w:t>
      </w:r>
    </w:p>
    <w:p>
      <w:pPr>
        <w:pStyle w:val="style38"/>
        <w:ind w:firstLine="708" w:left="0" w:right="0"/>
        <w:jc w:val="both"/>
      </w:pPr>
      <w:r>
        <w:rPr>
          <w:rFonts w:ascii="Times New Roman" w:cs="Times New Roman" w:hAnsi="Times New Roman"/>
          <w:sz w:val="24"/>
          <w:szCs w:val="24"/>
        </w:rPr>
        <w:t>Banka defter kayıtlarında banka ekstresi ile uyuşmazlık olduğu, 1.400,00 TL ve 720,00 TL’nin muhasebe kaydının yapılmadığı ve 0,99 krş. eksik kayıt yapıldığı anlaşılmıştır.</w:t>
      </w:r>
    </w:p>
    <w:p>
      <w:pPr>
        <w:pStyle w:val="style38"/>
        <w:ind w:firstLine="708" w:left="0" w:right="0"/>
        <w:jc w:val="both"/>
      </w:pPr>
      <w:r>
        <w:rPr>
          <w:rFonts w:ascii="Times New Roman" w:cs="Times New Roman" w:hAnsi="Times New Roman"/>
          <w:sz w:val="24"/>
          <w:szCs w:val="24"/>
        </w:rPr>
        <w:t>Gider hesabı çalışması gerekirken kişilerden alacaklar hesabının 61,66 TL çalıştırıldığı ve damga vergisi olarak ödendiği ayrıca Bütçe Giderler Hesabının muhasebe işlem fişi ile belgelendirildiği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MECLİS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Meclis toplantılarının, 6172 sayılı Sulama Birlikleri Kanunu ve Bahçelik Sulama Birliği Ana Statüsünde belirtildiği şekilde “Nisan ve Kasım” aylarında olmak üzere usulüne uygun olarak yılda iki defa olağan şekilde toplandığı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YÖNETİM KURULU TOPLANTILARI:</w:t>
      </w:r>
    </w:p>
    <w:p>
      <w:pPr>
        <w:pStyle w:val="style38"/>
        <w:ind w:firstLine="708" w:left="0" w:right="0"/>
        <w:jc w:val="both"/>
      </w:pPr>
      <w:r>
        <w:rPr>
          <w:rFonts w:ascii="Times New Roman" w:cs="Times New Roman" w:hAnsi="Times New Roman"/>
          <w:b/>
          <w:sz w:val="24"/>
          <w:szCs w:val="24"/>
        </w:rPr>
        <w:t xml:space="preserve"> </w:t>
      </w:r>
    </w:p>
    <w:p>
      <w:pPr>
        <w:pStyle w:val="style38"/>
        <w:ind w:firstLine="708" w:left="0" w:right="0"/>
        <w:jc w:val="both"/>
      </w:pPr>
      <w:r>
        <w:rPr>
          <w:rFonts w:ascii="Times New Roman" w:cs="Times New Roman" w:hAnsi="Times New Roman"/>
          <w:sz w:val="24"/>
          <w:szCs w:val="24"/>
        </w:rPr>
        <w:t>Yönetim Kurulunun 2015 yılında 6172 sayılı Sulama Birlikleri Kanunu ve  Birlik Ana Statüsünde belirtildiği şekilde ayda iki kez toplandığı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DENETİM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Denetim kurulunun 2015 yılında, Birlik Ana Statüsünün 36’ncı maddesinde belirtildiği şekilde, meclis olağan toplantılarından bir hafta önce yılda iki kez toplandığı ve rapor hazırladığı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BİRLİKTE TUTULAN DEFTERLER:</w:t>
      </w:r>
    </w:p>
    <w:p>
      <w:pPr>
        <w:pStyle w:val="style38"/>
        <w:ind w:firstLine="708" w:left="0" w:right="0"/>
        <w:jc w:val="both"/>
      </w:pPr>
      <w:r>
        <w:rPr>
          <w:rFonts w:ascii="Times New Roman" w:cs="Times New Roman" w:hAnsi="Times New Roman"/>
          <w:b/>
          <w:sz w:val="24"/>
          <w:szCs w:val="24"/>
        </w:rPr>
        <w:t xml:space="preserve"> </w:t>
      </w:r>
    </w:p>
    <w:p>
      <w:pPr>
        <w:pStyle w:val="style38"/>
        <w:jc w:val="both"/>
      </w:pPr>
      <w:r>
        <w:rPr>
          <w:rFonts w:ascii="Times New Roman" w:cs="Times New Roman" w:hAnsi="Times New Roman"/>
          <w:sz w:val="24"/>
          <w:szCs w:val="24"/>
        </w:rPr>
        <w:t xml:space="preserve">1- Meclis ve Yönetim Kurulu Karar Defteri </w:t>
      </w:r>
    </w:p>
    <w:p>
      <w:pPr>
        <w:pStyle w:val="style38"/>
        <w:jc w:val="both"/>
      </w:pPr>
      <w:r>
        <w:rPr>
          <w:rFonts w:ascii="Times New Roman" w:cs="Times New Roman" w:hAnsi="Times New Roman"/>
          <w:sz w:val="24"/>
          <w:szCs w:val="24"/>
        </w:rPr>
        <w:t xml:space="preserve">2- Gelen ve Giden Evrak Kayıt Defteri </w:t>
      </w:r>
    </w:p>
    <w:p>
      <w:pPr>
        <w:pStyle w:val="style38"/>
        <w:jc w:val="both"/>
      </w:pPr>
      <w:r>
        <w:rPr>
          <w:rFonts w:ascii="Times New Roman" w:cs="Times New Roman" w:hAnsi="Times New Roman"/>
          <w:sz w:val="24"/>
          <w:szCs w:val="24"/>
        </w:rPr>
        <w:t xml:space="preserve">3- Üye Kayıt Defteri </w:t>
      </w:r>
    </w:p>
    <w:p>
      <w:pPr>
        <w:pStyle w:val="style38"/>
        <w:jc w:val="both"/>
      </w:pPr>
      <w:r>
        <w:rPr>
          <w:rFonts w:ascii="Times New Roman" w:cs="Times New Roman" w:hAnsi="Times New Roman"/>
          <w:sz w:val="24"/>
          <w:szCs w:val="24"/>
        </w:rPr>
        <w:t xml:space="preserve">4- Defteri Kebir, </w:t>
      </w:r>
    </w:p>
    <w:p>
      <w:pPr>
        <w:pStyle w:val="style38"/>
        <w:jc w:val="both"/>
      </w:pPr>
      <w:r>
        <w:rPr>
          <w:rFonts w:ascii="Times New Roman" w:cs="Times New Roman" w:hAnsi="Times New Roman"/>
          <w:sz w:val="24"/>
          <w:szCs w:val="24"/>
        </w:rPr>
        <w:t xml:space="preserve">5- Yevmiye Defteri </w:t>
      </w:r>
    </w:p>
    <w:p>
      <w:pPr>
        <w:pStyle w:val="style38"/>
        <w:jc w:val="both"/>
      </w:pPr>
      <w:r>
        <w:rPr>
          <w:rFonts w:ascii="Times New Roman" w:cs="Times New Roman" w:hAnsi="Times New Roman"/>
          <w:sz w:val="24"/>
          <w:szCs w:val="24"/>
        </w:rPr>
        <w:t xml:space="preserve">6- Envanter Defteri </w:t>
      </w:r>
    </w:p>
    <w:p>
      <w:pPr>
        <w:pStyle w:val="style38"/>
        <w:jc w:val="both"/>
      </w:pPr>
      <w:r>
        <w:rPr>
          <w:rFonts w:ascii="Times New Roman" w:cs="Times New Roman" w:hAnsi="Times New Roman"/>
          <w:sz w:val="24"/>
          <w:szCs w:val="24"/>
        </w:rPr>
        <w:t xml:space="preserve">7- Kasa Defteri </w:t>
      </w:r>
    </w:p>
    <w:p>
      <w:pPr>
        <w:pStyle w:val="style38"/>
        <w:jc w:val="both"/>
      </w:pPr>
      <w:r>
        <w:rPr>
          <w:rFonts w:ascii="Times New Roman" w:cs="Times New Roman" w:hAnsi="Times New Roman"/>
          <w:sz w:val="24"/>
          <w:szCs w:val="24"/>
        </w:rPr>
        <w:t xml:space="preserve">8- Demirbaş Defteri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Meclis ve Yönetim Kurulu Karar Defteri, Envanter Defteri, Demirbaş Defteri, Gelen ve Giden Evrak Kayıt Defterlerinin yazılı olarak tutulduğu ve yıl sonu kapanışlarının yapılmadığı, üye kayıt defterinin noter onaylı olduğu;</w:t>
      </w:r>
    </w:p>
    <w:p>
      <w:pPr>
        <w:pStyle w:val="style38"/>
        <w:ind w:firstLine="708" w:left="0" w:right="0"/>
        <w:jc w:val="both"/>
      </w:pPr>
      <w:r>
        <w:rPr>
          <w:rFonts w:ascii="Times New Roman" w:cs="Times New Roman" w:hAnsi="Times New Roman"/>
          <w:sz w:val="24"/>
          <w:szCs w:val="24"/>
        </w:rPr>
        <w:t xml:space="preserve">Bütün defterlerin bilgisayar ortamında da tutulduğu tespit edilmiştir. </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YÖNETMELİKLER: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Meclisinin 24.04.2015 tarihli toplantısında alınan karar ile;</w:t>
      </w:r>
    </w:p>
    <w:p>
      <w:pPr>
        <w:pStyle w:val="style38"/>
        <w:numPr>
          <w:ilvl w:val="0"/>
          <w:numId w:val="1"/>
        </w:numPr>
        <w:jc w:val="both"/>
      </w:pPr>
      <w:r>
        <w:rPr>
          <w:rFonts w:ascii="Times New Roman" w:cs="Times New Roman" w:hAnsi="Times New Roman"/>
          <w:sz w:val="24"/>
          <w:szCs w:val="24"/>
        </w:rPr>
        <w:t>Personel Yönetmeliği ve Teşkilat Yönetmeliği</w:t>
      </w:r>
    </w:p>
    <w:p>
      <w:pPr>
        <w:pStyle w:val="style38"/>
        <w:numPr>
          <w:ilvl w:val="0"/>
          <w:numId w:val="1"/>
        </w:numPr>
        <w:jc w:val="both"/>
      </w:pPr>
      <w:r>
        <w:rPr>
          <w:rFonts w:ascii="Times New Roman" w:cs="Times New Roman" w:hAnsi="Times New Roman"/>
          <w:sz w:val="24"/>
          <w:szCs w:val="24"/>
        </w:rPr>
        <w:t>Tahakkuk Tahsilat Usul ve Esaslarına Dair Yönetmeği</w:t>
      </w:r>
    </w:p>
    <w:p>
      <w:pPr>
        <w:pStyle w:val="style38"/>
        <w:numPr>
          <w:ilvl w:val="0"/>
          <w:numId w:val="1"/>
        </w:numPr>
        <w:jc w:val="both"/>
      </w:pPr>
      <w:r>
        <w:rPr>
          <w:rFonts w:ascii="Times New Roman" w:cs="Times New Roman" w:hAnsi="Times New Roman"/>
          <w:sz w:val="24"/>
          <w:szCs w:val="24"/>
        </w:rPr>
        <w:t>Bütçe ve  Muhasebe Yönetmeliği</w:t>
      </w:r>
    </w:p>
    <w:p>
      <w:pPr>
        <w:pStyle w:val="style38"/>
        <w:numPr>
          <w:ilvl w:val="0"/>
          <w:numId w:val="1"/>
        </w:numPr>
        <w:jc w:val="both"/>
      </w:pPr>
      <w:r>
        <w:rPr>
          <w:rFonts w:ascii="Times New Roman" w:cs="Times New Roman" w:hAnsi="Times New Roman"/>
          <w:sz w:val="24"/>
          <w:szCs w:val="24"/>
        </w:rPr>
        <w:t>Alım- Satım ve Kiralama Yönetmeliğini çıkararak uygulamaya koyduğu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8"/>
        <w:ind w:firstLine="708" w:left="0" w:right="0"/>
        <w:jc w:val="both"/>
      </w:pPr>
      <w:r>
        <w:rPr>
          <w:rFonts w:ascii="Times New Roman" w:cs="Times New Roman" w:hAnsi="Times New Roman"/>
          <w:sz w:val="24"/>
          <w:szCs w:val="24"/>
        </w:rPr>
        <w:t>Birliğin sulama sezonu öncesinde ”Genel Sulama Planlaması” yaptığı, “Su Kullanım Protokolü ”nü düzenlediği, sulama sezonu sonunda ise “Planlı Su Dağıtım Uygulama Raporları” hazırladıkları,</w:t>
      </w:r>
    </w:p>
    <w:p>
      <w:pPr>
        <w:pStyle w:val="style38"/>
        <w:ind w:firstLine="708" w:left="0" w:right="0"/>
        <w:jc w:val="both"/>
      </w:pPr>
      <w:r>
        <w:rPr>
          <w:rFonts w:ascii="Times New Roman" w:cs="Times New Roman" w:hAnsi="Times New Roman"/>
          <w:sz w:val="24"/>
          <w:szCs w:val="24"/>
        </w:rPr>
        <w:t>Şebekeye alınan suların aylık olarak düzenlenerek DSİ’ye bildirildiği,</w:t>
      </w:r>
    </w:p>
    <w:p>
      <w:pPr>
        <w:pStyle w:val="style38"/>
        <w:ind w:firstLine="708" w:left="0" w:right="0"/>
        <w:jc w:val="both"/>
      </w:pPr>
      <w:r>
        <w:rPr>
          <w:rFonts w:ascii="Times New Roman" w:cs="Times New Roman" w:hAnsi="Times New Roman"/>
          <w:sz w:val="24"/>
          <w:szCs w:val="24"/>
        </w:rPr>
        <w:t>Sulama ücret tarifelerinin dekar başına, Bakanlar Kurulu kararınca belirlenen yılı sulama ücret tarifesine uygun olarak ürün bazında belirlendiği ve DSİ’ce onaylandığı,</w:t>
      </w:r>
    </w:p>
    <w:p>
      <w:pPr>
        <w:pStyle w:val="style38"/>
        <w:ind w:firstLine="708" w:left="0" w:right="0"/>
        <w:jc w:val="both"/>
      </w:pPr>
      <w:r>
        <w:rPr>
          <w:rFonts w:ascii="Times New Roman" w:cs="Times New Roman" w:hAnsi="Times New Roman"/>
          <w:sz w:val="24"/>
          <w:szCs w:val="24"/>
        </w:rPr>
        <w:t>Sulama sezonu öncesi birlik personeli ve iş makinaları ile kanal temizliklerinin yapıldığı, gerekli bakım onarımın tamamlandığı,</w:t>
      </w:r>
    </w:p>
    <w:p>
      <w:pPr>
        <w:pStyle w:val="style38"/>
        <w:ind w:firstLine="708" w:left="0" w:right="0"/>
        <w:jc w:val="both"/>
      </w:pPr>
      <w:r>
        <w:rPr>
          <w:rFonts w:ascii="Times New Roman" w:cs="Times New Roman" w:hAnsi="Times New Roman"/>
          <w:sz w:val="24"/>
          <w:szCs w:val="24"/>
        </w:rPr>
        <w:t>Şebeke dışı alanlara su verilmediği,</w:t>
      </w:r>
    </w:p>
    <w:p>
      <w:pPr>
        <w:pStyle w:val="style38"/>
        <w:ind w:firstLine="708" w:left="0" w:right="0"/>
        <w:jc w:val="both"/>
      </w:pPr>
      <w:r>
        <w:rPr>
          <w:rFonts w:ascii="Times New Roman" w:cs="Times New Roman" w:hAnsi="Times New Roman"/>
          <w:sz w:val="24"/>
          <w:szCs w:val="24"/>
        </w:rPr>
        <w:t>Sulama oranının % 40</w:t>
      </w:r>
    </w:p>
    <w:p>
      <w:pPr>
        <w:pStyle w:val="style38"/>
        <w:ind w:firstLine="708" w:left="0" w:right="0"/>
        <w:jc w:val="both"/>
      </w:pPr>
      <w:r>
        <w:rPr>
          <w:rFonts w:ascii="Times New Roman" w:cs="Times New Roman" w:hAnsi="Times New Roman"/>
          <w:sz w:val="24"/>
          <w:szCs w:val="24"/>
        </w:rPr>
        <w:t>Tahsilat oranının %75 olduğu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DEĞERLENDİRME  VE  ÖNERİLER: </w:t>
      </w:r>
    </w:p>
    <w:p>
      <w:pPr>
        <w:pStyle w:val="style38"/>
        <w:jc w:val="both"/>
      </w:pPr>
      <w:r>
        <w:rPr/>
      </w:r>
    </w:p>
    <w:p>
      <w:pPr>
        <w:pStyle w:val="style38"/>
        <w:ind w:firstLine="708" w:left="0" w:right="0"/>
        <w:jc w:val="both"/>
      </w:pPr>
      <w:r>
        <w:rPr>
          <w:rFonts w:ascii="Times New Roman" w:cs="Times New Roman" w:hAnsi="Times New Roman"/>
          <w:sz w:val="24"/>
          <w:szCs w:val="24"/>
        </w:rPr>
        <w:t xml:space="preserve">Komisyonca yerinde yapılan denetim neticesinde; </w:t>
      </w:r>
    </w:p>
    <w:p>
      <w:pPr>
        <w:pStyle w:val="style38"/>
        <w:ind w:firstLine="708" w:left="0" w:right="0"/>
        <w:jc w:val="both"/>
      </w:pPr>
      <w:r>
        <w:rPr>
          <w:rFonts w:ascii="Times New Roman" w:cs="Times New Roman" w:hAnsi="Times New Roman"/>
          <w:sz w:val="24"/>
          <w:szCs w:val="24"/>
        </w:rPr>
        <w:t xml:space="preserve">Sulama Birliğinin 6172 Sayılı Kanun ve Birlik Ana Statüsüne uygun olarak faaliyette bulunduğu, ancak; </w:t>
      </w:r>
    </w:p>
    <w:p>
      <w:pPr>
        <w:pStyle w:val="style45"/>
        <w:ind w:hanging="0" w:left="708" w:right="0"/>
        <w:jc w:val="both"/>
      </w:pPr>
      <w:r>
        <w:rPr>
          <w:rFonts w:cs="Times New Roman"/>
          <w:sz w:val="24"/>
          <w:szCs w:val="24"/>
        </w:rPr>
        <w:t>- 3628 sayılı Mal Bildiriminde Bulunulması, Rüşvet ve Yolsuzluklarla Mücadele Kanunu’nun 2. Maddesinin (f) bendi gereği, birlik başkanı, yönetim kurulu üyeleri ile birlik müdürünün mal bildiriminde bulunması gerektiği halde herhangi bir mal bildiriminde bulunulmadığı,</w:t>
      </w:r>
    </w:p>
    <w:p>
      <w:pPr>
        <w:pStyle w:val="style45"/>
        <w:ind w:hanging="0" w:left="708" w:right="0"/>
        <w:jc w:val="both"/>
      </w:pPr>
      <w:r>
        <w:rPr>
          <w:rFonts w:cs="Times New Roman"/>
          <w:sz w:val="24"/>
          <w:szCs w:val="24"/>
        </w:rPr>
        <w:t>-  Yönetim ve Denetim Kurulu üyelerinin eksik seçildiği belirlenmiş olup, ilk meclis toplantısında eksik üyeliklerin tamamlanması,</w:t>
      </w:r>
    </w:p>
    <w:p>
      <w:pPr>
        <w:pStyle w:val="style45"/>
        <w:ind w:hanging="0" w:left="708" w:right="0"/>
        <w:jc w:val="both"/>
      </w:pPr>
      <w:r>
        <w:rPr>
          <w:rFonts w:cs="Times New Roman"/>
          <w:sz w:val="24"/>
          <w:szCs w:val="24"/>
        </w:rPr>
        <w:t>- 2015 yılı tahmini bütçesinde belirtilmeyen idari para cezaları kaleminden tahsilat yapıldığı, bundan dolayı gelir- gider bütçe dengesinde 2.000,00 TL lik fark meydana geldiği görülmüş olup bütçe hazırlığı sırasında bu kalemin bütçeye dahil edilmesi,</w:t>
      </w:r>
    </w:p>
    <w:p>
      <w:pPr>
        <w:pStyle w:val="style45"/>
        <w:ind w:hanging="0" w:left="708" w:right="0"/>
        <w:jc w:val="both"/>
      </w:pPr>
      <w:r>
        <w:rPr>
          <w:rFonts w:cs="Times New Roman"/>
          <w:sz w:val="24"/>
          <w:szCs w:val="24"/>
        </w:rPr>
        <w:t>- Banka defter kayıtlarında banka ekstresi ile uyuşmazlık olduğu, 1.400,00 TL ve 720,00 TL’nin muhasebe kaydının yapılmadığı ve 0,99 krş. eksik kayıt yapıldığı anlaşılmış olup hesap uygunluğunun sağlanması,</w:t>
      </w:r>
    </w:p>
    <w:p>
      <w:pPr>
        <w:pStyle w:val="style45"/>
        <w:ind w:hanging="0" w:left="708" w:right="0"/>
        <w:jc w:val="both"/>
      </w:pPr>
      <w:r>
        <w:rPr>
          <w:rFonts w:cs="Times New Roman"/>
          <w:sz w:val="24"/>
          <w:szCs w:val="24"/>
        </w:rPr>
        <w:t>- Gider hesabı çalışması gerekirken kişilerden alacaklar hesabı 61,66 TL çalıştırıldığı ve damga vergisi olarak ödendiği ayrıca Bütçe Giderler Hesabının muhasebe işlem fişi ile belgelendirildiği görülmüş olup, yanlış çalıştırılan Kişilerden Alacaklar Hesabının kapatılarak düzeltme kaydının yapılması,</w:t>
      </w:r>
    </w:p>
    <w:p>
      <w:pPr>
        <w:pStyle w:val="style45"/>
        <w:ind w:hanging="0" w:left="708" w:right="0"/>
        <w:jc w:val="both"/>
      </w:pPr>
      <w:r>
        <w:rPr>
          <w:rFonts w:cs="Times New Roman"/>
          <w:sz w:val="24"/>
          <w:szCs w:val="24"/>
        </w:rPr>
        <w:t>- Personel giderleri ile ilgili Sulama Birlikleri Kanununun “Personel İstihdamı” başlıklı 14. Maddesi; bakım onarım giderleri için “Birlik Bütçesi” başlıklı 10.Maddesine  göre uygulama yapılması gerekmektedir.</w:t>
      </w:r>
    </w:p>
    <w:p>
      <w:pPr>
        <w:pStyle w:val="style38"/>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w:t>
      </w:r>
      <w:r>
        <w:rPr>
          <w:rFonts w:ascii="Times New Roman" w:cs="Times New Roman" w:hAnsi="Times New Roman"/>
          <w:sz w:val="24"/>
          <w:szCs w:val="24"/>
        </w:rPr>
        <w:t>/</w:t>
      </w:r>
      <w:r>
        <w:rPr>
          <w:rFonts w:ascii="Times New Roman" w:cs="Times New Roman" w:hAnsi="Times New Roman"/>
          <w:sz w:val="24"/>
          <w:szCs w:val="24"/>
        </w:rPr>
        <w:t>09</w:t>
      </w:r>
      <w:r>
        <w:rPr>
          <w:rFonts w:ascii="Times New Roman" w:cs="Times New Roman" w:hAnsi="Times New Roman"/>
          <w:sz w:val="24"/>
          <w:szCs w:val="24"/>
        </w:rPr>
        <w:t>/2016</w:t>
      </w:r>
    </w:p>
    <w:p>
      <w:pPr>
        <w:pStyle w:val="style38"/>
        <w:jc w:val="both"/>
      </w:pPr>
      <w:r>
        <w:rPr/>
      </w:r>
    </w:p>
    <w:p>
      <w:pPr>
        <w:pStyle w:val="style0"/>
      </w:pPr>
      <w:bookmarkStart w:id="0" w:name="_GoBack"/>
      <w:bookmarkStart w:id="1" w:name="_GoBack"/>
      <w:bookmarkEnd w:id="1"/>
      <w:r>
        <w:rPr/>
      </w:r>
    </w:p>
    <w:p>
      <w:pPr>
        <w:pStyle w:val="style0"/>
        <w:jc w:val="center"/>
      </w:pPr>
      <w:r>
        <w:rPr/>
      </w:r>
    </w:p>
    <w:p>
      <w:pPr>
        <w:pStyle w:val="style38"/>
        <w:jc w:val="center"/>
      </w:pPr>
      <w:r>
        <w:rPr>
          <w:rFonts w:ascii="Times New Roman" w:cs="Times New Roman" w:hAnsi="Times New Roman"/>
          <w:sz w:val="24"/>
          <w:szCs w:val="24"/>
        </w:rPr>
        <w:t>KOORDİNATÖR</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Baha BAŞÇELİK</w:t>
      </w:r>
    </w:p>
    <w:p>
      <w:pPr>
        <w:pStyle w:val="style38"/>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38"/>
        <w:jc w:val="center"/>
      </w:pPr>
      <w:r>
        <w:rPr>
          <w:rFonts w:ascii="Times New Roman" w:cs="Times New Roman" w:hAnsi="Times New Roman"/>
          <w:sz w:val="24"/>
          <w:szCs w:val="24"/>
        </w:rPr>
        <w:t>BAŞKAN</w:t>
      </w:r>
    </w:p>
    <w:p>
      <w:pPr>
        <w:pStyle w:val="style38"/>
        <w:jc w:val="center"/>
      </w:pPr>
      <w:r>
        <w:rPr/>
      </w:r>
    </w:p>
    <w:p>
      <w:pPr>
        <w:pStyle w:val="style38"/>
        <w:jc w:val="center"/>
      </w:pPr>
      <w:r>
        <w:rPr>
          <w:rFonts w:ascii="Times New Roman" w:cs="Times New Roman" w:hAnsi="Times New Roman"/>
          <w:sz w:val="24"/>
          <w:szCs w:val="24"/>
        </w:rPr>
        <w:t>Necip GÖKÇEK</w:t>
      </w:r>
    </w:p>
    <w:p>
      <w:pPr>
        <w:pStyle w:val="style38"/>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ab/>
        <w:t xml:space="preserve">        Valilik Uzmanı   </w:t>
        <w:tab/>
        <w:tab/>
        <w:tab/>
        <w:tab/>
        <w:t xml:space="preserve">            </w:t>
        <w:tab/>
        <w:t>Defterdarlık VHKİ</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p>
      <w:pPr>
        <w:pStyle w:val="style38"/>
        <w:ind w:firstLine="708" w:left="0" w:right="0"/>
        <w:jc w:val="both"/>
      </w:pPr>
      <w:r>
        <w:rPr/>
      </w:r>
    </w:p>
    <w:p>
      <w:pPr>
        <w:pStyle w:val="style0"/>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pPr>
      <w:r>
        <w:rPr/>
      </w:r>
    </w:p>
    <w:p>
      <w:pPr>
        <w:pStyle w:val="style0"/>
        <w:tabs>
          <w:tab w:leader="none" w:pos="2628" w:val="left"/>
        </w:tabs>
      </w:pPr>
      <w:r>
        <w:rPr>
          <w:rFonts w:cs="Times New Roman"/>
          <w:sz w:val="24"/>
          <w:szCs w:val="24"/>
        </w:rPr>
        <w:tab/>
      </w:r>
    </w:p>
    <w:p>
      <w:pPr>
        <w:pStyle w:val="style0"/>
        <w:tabs>
          <w:tab w:leader="none" w:pos="2628" w:val="left"/>
        </w:tabs>
      </w:pPr>
      <w:r>
        <w:rPr/>
      </w:r>
    </w:p>
    <w:sectPr>
      <w:footerReference r:id="rId2" w:type="default"/>
      <w:type w:val="nextPage"/>
      <w:pgSz w:h="16838" w:w="11906"/>
      <w:pgMar w:bottom="851" w:footer="709" w:gutter="0" w:header="0" w:left="1418" w:right="1134"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List Paragraph"/>
    <w:basedOn w:val="style0"/>
    <w:next w:val="style45"/>
    <w:pPr>
      <w:spacing w:after="200" w:before="0"/>
      <w:ind w:hanging="0" w:left="720" w:right="0"/>
      <w:contextualSpacing/>
    </w:pPr>
    <w:rPr/>
  </w:style>
  <w:style w:styleId="style46" w:type="paragraph">
    <w:name w:val="Çerçeve içeriği"/>
    <w:basedOn w:val="style34"/>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600</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2016-09-01T14:22:35.27Z</cp:lastPrinted>
  <dcterms:modified xsi:type="dcterms:W3CDTF">2016-08-23T09:06:00.00Z</dcterms:modified>
  <cp:revision>38</cp:revision>
</cp:coreProperties>
</file>