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jc w:val="center"/>
      </w:pPr>
      <w:r>
        <w:rPr>
          <w:rFonts w:ascii="Times New Roman" w:cs="Times New Roman" w:hAnsi="Times New Roman"/>
          <w:b/>
          <w:sz w:val="24"/>
          <w:szCs w:val="24"/>
        </w:rPr>
        <w:t>ZAMANTI SULAMA BİRLİĞİ</w:t>
      </w:r>
    </w:p>
    <w:p>
      <w:pPr>
        <w:pStyle w:val="style38"/>
        <w:jc w:val="center"/>
      </w:pPr>
      <w:r>
        <w:rPr>
          <w:rFonts w:ascii="Times New Roman" w:cs="Times New Roman" w:hAnsi="Times New Roman"/>
          <w:b/>
          <w:sz w:val="24"/>
          <w:szCs w:val="24"/>
        </w:rPr>
        <w:t xml:space="preserve"> </w:t>
      </w:r>
      <w:r>
        <w:rPr>
          <w:rFonts w:ascii="Times New Roman" w:cs="Times New Roman" w:hAnsi="Times New Roman"/>
          <w:b/>
          <w:sz w:val="24"/>
          <w:szCs w:val="24"/>
        </w:rPr>
        <w:t>DENETİM RAPORU</w:t>
      </w:r>
    </w:p>
    <w:p>
      <w:pPr>
        <w:pStyle w:val="style38"/>
        <w:jc w:val="center"/>
      </w:pPr>
      <w:r>
        <w:rPr/>
      </w:r>
    </w:p>
    <w:p>
      <w:pPr>
        <w:pStyle w:val="style38"/>
        <w:ind w:firstLine="708" w:left="0" w:right="0"/>
        <w:jc w:val="both"/>
      </w:pPr>
      <w:r>
        <w:rPr>
          <w:rFonts w:ascii="Times New Roman" w:cs="Times New Roman" w:hAnsi="Times New Roman"/>
          <w:sz w:val="24"/>
          <w:szCs w:val="24"/>
        </w:rPr>
        <w:t>Kayseri ValilikMakamı'nın 02.12.2015 tarih ve 15693 sayılı  Oluru ile 6172 Sayılı Sulama Birlikleri Kanunu’nun18. Maddesi  gereğince; Zamantı Sulama Birliğinin “2015 yılı İdari ve Mali Denetimi” Vali Yardımcısı Baha BAŞÇELİK Koordinatörlüğünde, İl Mahalli İdareler Müdür Vekili Necip GÖKÇEK Başkanlığında,  İl İdare Kurulu Müdürlüğü Uzman Fazıl GÜVEN, Defterdarlık VHKİ Bekir AKBIYIK, Devlet  Su  İşleri  Bölge  Müdürlüğü  Ziraat Mühendisi İclal ÖZKAN,İl Gıda Tarım ve Hayvancılık Müdürlüğü Ziraat Mühendisi Arif ÇAĞLAYAN tarafından  yapılmıştır.</w:t>
      </w:r>
    </w:p>
    <w:p>
      <w:pPr>
        <w:pStyle w:val="style38"/>
        <w:jc w:val="center"/>
      </w:pPr>
      <w:r>
        <w:rPr/>
      </w:r>
    </w:p>
    <w:p>
      <w:pPr>
        <w:pStyle w:val="style38"/>
        <w:ind w:firstLine="708" w:left="0" w:right="0"/>
        <w:jc w:val="both"/>
      </w:pPr>
      <w:r>
        <w:rPr>
          <w:rFonts w:ascii="Times New Roman" w:cs="Times New Roman" w:hAnsi="Times New Roman"/>
          <w:b/>
          <w:sz w:val="24"/>
          <w:szCs w:val="24"/>
        </w:rPr>
        <w:t>ÖNCEKİ DENETİM:</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Zamantı Sulama Birliğinin 6172 Sayılı Kanun gereği Vali Yardımcısı Başkanlığınca oluşturulan komisyonca “2013-2014 yılı İdari ve Mali Denetimlerinin yapıldığı, ayrıca DSİ Genel Müdürlüğü İç Denetim Birimi elemanlarınca İdari ve Teknik denetimin yapıldığı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BİRLİĞİN ÜYELERİ VE KURULUŞ:</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daha önce 5355 sayılı kanuna göre mahalli idare  birliği   olarak    kurulduğu ve6172 Sayılı Sulama Birliği kanununun yürürlüğe girmesinden sonra Birlik Ana Statüsünün 20.03.2012  tarihinde  Orman ve Su İşleri Bakanlığının Olur’u   ile yürürlüğe girdiği  ve  yasa gereği yapılandırma çalışmasını tamamlayarak,  Tomarza   İlçe  Seçim  Kurulu  tarafından  yapılan  meclis  üyeliği  seçimi ve</w:t>
      </w:r>
      <w:bookmarkStart w:id="0" w:name="OLE_LINK7"/>
      <w:bookmarkStart w:id="1" w:name="OLE_LINK6"/>
      <w:bookmarkStart w:id="2" w:name="OLE_LINK5"/>
      <w:bookmarkStart w:id="3" w:name="OLE_LINK4"/>
      <w:r>
        <w:rPr>
          <w:rFonts w:ascii="Times New Roman" w:cs="Times New Roman" w:hAnsi="Times New Roman"/>
          <w:sz w:val="24"/>
          <w:szCs w:val="24"/>
        </w:rPr>
        <w:t xml:space="preserve">21.09.2012 </w:t>
      </w:r>
      <w:bookmarkEnd w:id="0"/>
      <w:bookmarkEnd w:id="1"/>
      <w:bookmarkEnd w:id="2"/>
      <w:bookmarkEnd w:id="3"/>
      <w:r>
        <w:rPr>
          <w:rFonts w:ascii="Times New Roman" w:cs="Times New Roman" w:hAnsi="Times New Roman"/>
          <w:sz w:val="24"/>
          <w:szCs w:val="24"/>
        </w:rPr>
        <w:t>tarihinde yapılan  ilk meclis toplantıları  ile  yeni  yönetim  organlarını  oluşturarak yapılandırma çalışmalarını tamamladıkları ve 6172 sayılı yasa hükmüne uygun olarak  sulama birliğinin faaliyetlerine devam ettiği anlaşılmıştır.</w:t>
      </w:r>
    </w:p>
    <w:p>
      <w:pPr>
        <w:pStyle w:val="style38"/>
        <w:ind w:firstLine="708" w:left="0" w:right="0"/>
        <w:jc w:val="both"/>
      </w:pPr>
      <w:r>
        <w:rPr>
          <w:rFonts w:ascii="Times New Roman" w:cs="Times New Roman" w:hAnsi="Times New Roman"/>
          <w:sz w:val="24"/>
          <w:szCs w:val="24"/>
        </w:rPr>
        <w:t xml:space="preserve">Tomarza İlçesine bağlı Süvegenler, Şeyhbarak, Böke, Kale, Culha, İmamkulu, Köseler, Melikviran, Bostanlık, Tatar, Akmezar, Köprübaşı Mahallelerinin   sulama  alanları baz  alınarak  hesaplama  yapıldığı  ve  meclis  üye  sayısının  28  olarak  belirlendiği  anlaşılmıştır. Buna  göre21.09.2012  tarihinde  yapılan birlik meclisi  seçimlerinde  Süvegenler (3), Şeyhbarak (3), Böke (2), Kale (2), Culha (3), İmamkulu (2), Köseler (3), Melikviran (2), Bostanlık (2), Tatar (2),  Akmezar (2),   Köprübaşı (2), olmak üzere toplam (28) üyenin Birlik meclis üyeliğine seçildiği görülmüştür.  </w:t>
      </w:r>
    </w:p>
    <w:p>
      <w:pPr>
        <w:pStyle w:val="style46"/>
        <w:spacing w:after="120" w:before="0" w:line="820" w:lineRule="exact"/>
        <w:contextualSpacing w:val="false"/>
      </w:pPr>
      <w:r>
        <w:rPr/>
      </w:r>
    </w:p>
    <w:p>
      <w:pPr>
        <w:pStyle w:val="style38"/>
        <w:jc w:val="both"/>
      </w:pPr>
      <w:r>
        <w:rPr>
          <w:rFonts w:ascii="Times New Roman" w:cs="Times New Roman" w:eastAsia="Times New Roman" w:hAnsi="Times New Roman"/>
          <w:sz w:val="24"/>
          <w:szCs w:val="24"/>
        </w:rPr>
        <w:tab/>
        <w:t>İ</w:t>
      </w:r>
      <w:r>
        <w:rPr>
          <w:rFonts w:ascii="Times New Roman" w:cs="Times New Roman" w:hAnsi="Times New Roman"/>
          <w:sz w:val="24"/>
          <w:szCs w:val="24"/>
        </w:rPr>
        <w:t>lk  üyelik  kaydı  sırasında  bir defaya mahsus  olmak  üzere dekara 17 TL. katılım payı  belirlendiği görülmüştür.</w:t>
      </w:r>
    </w:p>
    <w:p>
      <w:pPr>
        <w:pStyle w:val="style38"/>
        <w:ind w:firstLine="708" w:left="0" w:right="0"/>
        <w:jc w:val="both"/>
      </w:pPr>
      <w:r>
        <w:rPr>
          <w:rFonts w:ascii="Times New Roman" w:cs="Times New Roman" w:hAnsi="Times New Roman"/>
          <w:sz w:val="24"/>
          <w:szCs w:val="24"/>
        </w:rPr>
        <w:t>Sulama Birliğinin sorumluluğunda bulunan toplam sulama alanı net 1736ha.olup, Şeyhbarak ve Melikviran olmak üzere iki sulama ünitesinden oluşmaktadır. Zamantı nehrinden Şeyhbarak Regülatörü ile alınan suŞeyhbarak Sulaması 13+500 km ana kanal, Melikviran Sulaması 14+400 km sağ sahil ana kanal, 13+100 km sol sahil ana kanal ile tarım alanlarına iletilmektedir.</w:t>
      </w:r>
    </w:p>
    <w:p>
      <w:pPr>
        <w:pStyle w:val="style38"/>
        <w:ind w:firstLine="708" w:left="0" w:right="0"/>
        <w:jc w:val="both"/>
      </w:pPr>
      <w:r>
        <w:rPr>
          <w:rFonts w:ascii="Times New Roman" w:cs="Times New Roman" w:hAnsi="Times New Roman"/>
          <w:sz w:val="24"/>
          <w:szCs w:val="24"/>
        </w:rPr>
        <w:t xml:space="preserve">Üye kayıt defterinin incelenmesi neticesinde 191 kayıtlı üyenin olduğu, tapu ve kimlik fotokopilerin dosyada bulundurulduğu, ancak üye başvuru formları ve üye sözleşmelerinin düzenlenmediği görülmüştür. </w:t>
      </w:r>
    </w:p>
    <w:p>
      <w:pPr>
        <w:pStyle w:val="style38"/>
        <w:jc w:val="both"/>
      </w:pPr>
      <w:r>
        <w:rPr>
          <w:rFonts w:ascii="Times New Roman" w:cs="Times New Roman" w:hAnsi="Times New Roman"/>
          <w:sz w:val="24"/>
          <w:szCs w:val="24"/>
        </w:rPr>
        <w:tab/>
        <w:t>Birliğin yönetim ve denetim kurulu aşağıda belirtilen üyelerden oluşmaktadır.</w:t>
      </w:r>
    </w:p>
    <w:p>
      <w:pPr>
        <w:pStyle w:val="style38"/>
        <w:jc w:val="both"/>
      </w:pPr>
      <w:r>
        <w:rPr/>
      </w:r>
    </w:p>
    <w:tbl>
      <w:tblPr>
        <w:jc w:val="left"/>
        <w:tblInd w:type="dxa" w:w="68"/>
        <w:tblBorders>
          <w:top w:color="00000A" w:space="0" w:sz="4" w:val="single"/>
          <w:left w:color="00000A" w:space="0" w:sz="4" w:val="single"/>
          <w:bottom w:color="00000A" w:space="0" w:sz="4" w:val="single"/>
          <w:right w:color="00000A" w:space="0" w:sz="4" w:val="single"/>
        </w:tblBorders>
      </w:tblPr>
      <w:tblGrid>
        <w:gridCol w:w="5334"/>
        <w:gridCol w:w="3118"/>
      </w:tblGrid>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GÖREVİ</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ADI SOYADI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Başkanı</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Osman KARADENİZ</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Mustafa İZGİ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Tufan ÖZKAN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Gökhan AKBUDAK</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Ziya FİDAN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Ünal DEVRİM</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Abdullah BARUT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Hasan ELKIRAN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Ercan DALGALI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bl>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BAŞKANI: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Başkanlığına 21.09.2012 Tarihinde Birlik Meclisi Toplantısında yapılan seçimle Osman KARADENİZ seçilmiştir. Başkan Vekili tayin edilmemiştir.</w:t>
      </w:r>
    </w:p>
    <w:p>
      <w:pPr>
        <w:pStyle w:val="style38"/>
        <w:jc w:val="both"/>
      </w:pPr>
      <w:r>
        <w:rPr/>
      </w:r>
    </w:p>
    <w:p>
      <w:pPr>
        <w:pStyle w:val="style38"/>
        <w:ind w:firstLine="708" w:left="0" w:right="0"/>
        <w:jc w:val="both"/>
      </w:pPr>
      <w:r>
        <w:rPr>
          <w:rFonts w:ascii="Times New Roman" w:cs="Times New Roman" w:hAnsi="Times New Roman"/>
          <w:b/>
          <w:sz w:val="24"/>
          <w:szCs w:val="24"/>
        </w:rPr>
        <w:t xml:space="preserve">BİRLİK PERSONELİ: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2015 yılında 5 adet daimi personel çalıştırılmış olup, iş sözleşmesinin yapılmadığı tespit edilmiştir. Personel Bilgileri aşağıya çıkarılmıştır. </w:t>
      </w:r>
    </w:p>
    <w:p>
      <w:pPr>
        <w:pStyle w:val="style38"/>
        <w:ind w:firstLine="708" w:left="0" w:right="0"/>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806"/>
        <w:gridCol w:w="2225"/>
        <w:gridCol w:w="2139"/>
        <w:gridCol w:w="1425"/>
        <w:gridCol w:w="1717"/>
      </w:tblGrid>
      <w:tr>
        <w:trPr>
          <w:trHeight w:hRule="atLeast" w:val="552"/>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S.NO</w:t>
            </w:r>
          </w:p>
        </w:tc>
        <w:tc>
          <w:tcPr>
            <w:tcW w:type="dxa" w:w="2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ADI SOYADI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GÖREVİ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İŞE GİRİŞ TARİHİ</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İŞTEN ÇIKIŞ TARİHİ</w:t>
            </w:r>
          </w:p>
        </w:tc>
      </w:tr>
      <w:tr>
        <w:trPr>
          <w:trHeight w:hRule="atLeast" w:val="552"/>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w:t>
            </w:r>
          </w:p>
        </w:tc>
        <w:tc>
          <w:tcPr>
            <w:tcW w:type="dxa" w:w="2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Serkan GÖKDEMİR</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Sayman</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01.06.2014</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bookmarkStart w:id="4" w:name="OLE_LINK20"/>
            <w:bookmarkStart w:id="5" w:name="OLE_LINK19"/>
            <w:bookmarkStart w:id="6" w:name="OLE_LINK18"/>
            <w:bookmarkStart w:id="7" w:name="OLE_LINK17"/>
            <w:bookmarkStart w:id="8" w:name="OLE_LINK16"/>
            <w:bookmarkStart w:id="9" w:name="OLE_LINK15"/>
            <w:bookmarkEnd w:id="4"/>
            <w:bookmarkEnd w:id="5"/>
            <w:bookmarkEnd w:id="6"/>
            <w:bookmarkEnd w:id="7"/>
            <w:bookmarkEnd w:id="8"/>
            <w:bookmarkEnd w:id="9"/>
            <w:r>
              <w:rPr>
                <w:rFonts w:cs="Times New Roman" w:eastAsia="Times New Roman"/>
                <w:color w:val="000000"/>
                <w:sz w:val="24"/>
                <w:szCs w:val="24"/>
                <w:lang w:eastAsia="tr-TR"/>
              </w:rPr>
              <w:t>Devam ediyor</w:t>
            </w:r>
          </w:p>
        </w:tc>
      </w:tr>
      <w:tr>
        <w:trPr>
          <w:trHeight w:hRule="atLeast" w:val="552"/>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2</w:t>
            </w:r>
          </w:p>
        </w:tc>
        <w:tc>
          <w:tcPr>
            <w:tcW w:type="dxa" w:w="2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Fevzi METİN</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bookmarkStart w:id="10" w:name="OLE_LINK11"/>
            <w:bookmarkStart w:id="11" w:name="OLE_LINK10"/>
            <w:bookmarkStart w:id="12" w:name="OLE_LINK9"/>
            <w:bookmarkStart w:id="13" w:name="OLE_LINK8"/>
            <w:bookmarkEnd w:id="10"/>
            <w:bookmarkEnd w:id="11"/>
            <w:bookmarkEnd w:id="12"/>
            <w:bookmarkEnd w:id="13"/>
            <w:r>
              <w:rPr>
                <w:rFonts w:cs="Times New Roman" w:eastAsia="Times New Roman"/>
                <w:color w:val="000000"/>
                <w:sz w:val="24"/>
                <w:szCs w:val="24"/>
                <w:lang w:eastAsia="tr-TR"/>
              </w:rPr>
              <w:t>Sulama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01.03.2014</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ediyor</w:t>
            </w:r>
          </w:p>
        </w:tc>
      </w:tr>
      <w:tr>
        <w:trPr>
          <w:trHeight w:hRule="atLeast" w:val="552"/>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3</w:t>
            </w:r>
          </w:p>
        </w:tc>
        <w:tc>
          <w:tcPr>
            <w:tcW w:type="dxa" w:w="2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Rasim ONMAZ</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Sulama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bookmarkStart w:id="14" w:name="OLE_LINK14"/>
            <w:bookmarkStart w:id="15" w:name="OLE_LINK13"/>
            <w:bookmarkStart w:id="16" w:name="OLE_LINK12"/>
            <w:bookmarkEnd w:id="14"/>
            <w:bookmarkEnd w:id="15"/>
            <w:bookmarkEnd w:id="16"/>
            <w:r>
              <w:rPr>
                <w:rFonts w:cs="Times New Roman" w:eastAsia="Times New Roman"/>
                <w:color w:val="000000"/>
                <w:sz w:val="24"/>
                <w:szCs w:val="24"/>
                <w:lang w:eastAsia="tr-TR"/>
              </w:rPr>
              <w:t>01.04.2014</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ediyor</w:t>
            </w:r>
          </w:p>
        </w:tc>
      </w:tr>
      <w:tr>
        <w:trPr>
          <w:trHeight w:hRule="atLeast" w:val="552"/>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4</w:t>
            </w:r>
          </w:p>
        </w:tc>
        <w:tc>
          <w:tcPr>
            <w:tcW w:type="dxa" w:w="2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Hakan ELKIRAN</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Sulama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01.04.2014</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ediyor</w:t>
            </w:r>
          </w:p>
        </w:tc>
      </w:tr>
      <w:tr>
        <w:trPr>
          <w:trHeight w:hRule="atLeast" w:val="552"/>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5</w:t>
            </w:r>
          </w:p>
        </w:tc>
        <w:tc>
          <w:tcPr>
            <w:tcW w:type="dxa" w:w="22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Ünal DEMİREZEN</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Operatör</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01.06.2014</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ediyor</w:t>
            </w:r>
          </w:p>
        </w:tc>
      </w:tr>
    </w:tbl>
    <w:p>
      <w:pPr>
        <w:pStyle w:val="style38"/>
        <w:jc w:val="both"/>
      </w:pPr>
      <w:r>
        <w:rPr/>
      </w:r>
    </w:p>
    <w:p>
      <w:pPr>
        <w:pStyle w:val="style38"/>
        <w:ind w:firstLine="708" w:left="0" w:right="0"/>
        <w:jc w:val="both"/>
      </w:pPr>
      <w:r>
        <w:rPr>
          <w:rFonts w:ascii="Times New Roman" w:cs="Times New Roman" w:hAnsi="Times New Roman"/>
          <w:b/>
          <w:sz w:val="24"/>
          <w:szCs w:val="24"/>
        </w:rPr>
        <w:t xml:space="preserve">TAŞINMAZ MAL DURUMU: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idari faaliyetlerinin Tomarza İlçesi Süvegenler Mahallesi Şeyhbarak Regülatörü yanında yer alan DSİ’den birliğe tahsis edilmiş eski şantiye binasından yürütüldüğü tespit edilmiştir.</w:t>
      </w:r>
    </w:p>
    <w:p>
      <w:pPr>
        <w:pStyle w:val="style38"/>
        <w:jc w:val="both"/>
      </w:pPr>
      <w:r>
        <w:rPr/>
      </w:r>
    </w:p>
    <w:p>
      <w:pPr>
        <w:pStyle w:val="style38"/>
        <w:ind w:firstLine="708" w:left="0" w:right="0"/>
        <w:jc w:val="both"/>
      </w:pPr>
      <w:r>
        <w:rPr>
          <w:rFonts w:ascii="Times New Roman" w:cs="Times New Roman" w:hAnsi="Times New Roman"/>
          <w:b/>
          <w:sz w:val="24"/>
          <w:szCs w:val="24"/>
        </w:rPr>
        <w:t xml:space="preserve">ARAÇ GEREÇ VE İŞ MAKİNELERİ DURUMU: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Taşınır mal kayıtlarının bilgisayar ortamında tutulduğu, demirbaş eşyaların kullanan kişiler üzerine zimmet kayıtlarının yapılmadığı, sadece iş makinasının kullanıcı üzerine zimmetlendiğitespit edilmiştir.</w:t>
      </w:r>
    </w:p>
    <w:p>
      <w:pPr>
        <w:pStyle w:val="style38"/>
        <w:ind w:firstLine="708" w:left="0" w:right="0"/>
        <w:jc w:val="both"/>
      </w:pPr>
      <w:r>
        <w:rPr>
          <w:rFonts w:ascii="Times New Roman" w:cs="Times New Roman" w:hAnsi="Times New Roman"/>
          <w:sz w:val="24"/>
          <w:szCs w:val="24"/>
        </w:rPr>
        <w:t>Birliğe ait araçlar;</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19"/>
        <w:gridCol w:w="2290"/>
        <w:gridCol w:w="1433"/>
        <w:gridCol w:w="1072"/>
        <w:gridCol w:w="2396"/>
        <w:gridCol w:w="1456"/>
      </w:tblGrid>
      <w:tr>
        <w:trPr>
          <w:trHeight w:hRule="atLeast" w:val="307"/>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S.NO</w:t>
            </w:r>
          </w:p>
        </w:tc>
        <w:tc>
          <w:tcPr>
            <w:tcW w:type="dxa" w:w="229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CİNSİ</w:t>
            </w:r>
          </w:p>
        </w:tc>
        <w:tc>
          <w:tcPr>
            <w:tcW w:type="dxa" w:w="143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MARKASI</w:t>
            </w:r>
          </w:p>
        </w:tc>
        <w:tc>
          <w:tcPr>
            <w:tcW w:type="dxa" w:w="107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MODELİ</w:t>
            </w:r>
          </w:p>
        </w:tc>
        <w:tc>
          <w:tcPr>
            <w:tcW w:type="dxa" w:w="239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DURUMU</w:t>
            </w:r>
          </w:p>
        </w:tc>
        <w:tc>
          <w:tcPr>
            <w:tcW w:type="dxa" w:w="145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PLAKASI</w:t>
            </w:r>
          </w:p>
        </w:tc>
      </w:tr>
      <w:tr>
        <w:trPr>
          <w:trHeight w:hRule="atLeast" w:val="307"/>
          <w:cantSplit w:val="false"/>
        </w:trPr>
        <w:tc>
          <w:tcPr>
            <w:tcW w:type="dxa" w:w="81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w:t>
            </w:r>
          </w:p>
        </w:tc>
        <w:tc>
          <w:tcPr>
            <w:tcW w:type="dxa" w:w="22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BİNEK ARACI</w:t>
            </w:r>
          </w:p>
        </w:tc>
        <w:tc>
          <w:tcPr>
            <w:tcW w:type="dxa" w:w="14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RENAULT</w:t>
            </w:r>
          </w:p>
        </w:tc>
        <w:tc>
          <w:tcPr>
            <w:tcW w:type="dxa" w:w="107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1983</w:t>
            </w:r>
          </w:p>
        </w:tc>
        <w:tc>
          <w:tcPr>
            <w:tcW w:type="dxa" w:w="239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Kullanılmakta</w:t>
            </w:r>
          </w:p>
        </w:tc>
        <w:tc>
          <w:tcPr>
            <w:tcW w:type="dxa" w:w="145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38 AN 738</w:t>
            </w:r>
          </w:p>
        </w:tc>
      </w:tr>
      <w:tr>
        <w:trPr>
          <w:trHeight w:hRule="atLeast" w:val="307"/>
          <w:cantSplit w:val="false"/>
        </w:trPr>
        <w:tc>
          <w:tcPr>
            <w:tcW w:type="dxa" w:w="81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w:t>
            </w:r>
          </w:p>
        </w:tc>
        <w:tc>
          <w:tcPr>
            <w:tcW w:type="dxa" w:w="22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TRAKTÖR</w:t>
            </w:r>
          </w:p>
        </w:tc>
        <w:tc>
          <w:tcPr>
            <w:tcW w:type="dxa" w:w="14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MF 240</w:t>
            </w:r>
          </w:p>
        </w:tc>
        <w:tc>
          <w:tcPr>
            <w:tcW w:type="dxa" w:w="107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1982</w:t>
            </w:r>
          </w:p>
        </w:tc>
        <w:tc>
          <w:tcPr>
            <w:tcW w:type="dxa" w:w="2396"/>
            <w:tcBorders>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sz w:val="24"/>
                <w:szCs w:val="24"/>
              </w:rPr>
              <w:t>Kullanılmakta</w:t>
            </w:r>
          </w:p>
        </w:tc>
        <w:tc>
          <w:tcPr>
            <w:tcW w:type="dxa" w:w="145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38 NF 083</w:t>
            </w:r>
          </w:p>
        </w:tc>
      </w:tr>
      <w:tr>
        <w:trPr>
          <w:trHeight w:hRule="atLeast" w:val="307"/>
          <w:cantSplit w:val="false"/>
        </w:trPr>
        <w:tc>
          <w:tcPr>
            <w:tcW w:type="dxa" w:w="81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w:t>
            </w:r>
          </w:p>
        </w:tc>
        <w:tc>
          <w:tcPr>
            <w:tcW w:type="dxa" w:w="22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p>
            <w:pPr>
              <w:pStyle w:val="style0"/>
              <w:spacing w:after="0" w:before="0" w:line="100" w:lineRule="atLeast"/>
              <w:contextualSpacing w:val="false"/>
            </w:pPr>
            <w:r>
              <w:rPr>
                <w:rFonts w:cs="Times New Roman" w:eastAsia="Times New Roman"/>
                <w:color w:val="000000"/>
                <w:sz w:val="24"/>
                <w:szCs w:val="24"/>
                <w:lang w:eastAsia="tr-TR"/>
              </w:rPr>
              <w:t>GRADALL- BANTAM</w:t>
            </w:r>
          </w:p>
        </w:tc>
        <w:tc>
          <w:tcPr>
            <w:tcW w:type="dxa" w:w="14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HİDROMEK</w:t>
            </w:r>
          </w:p>
        </w:tc>
        <w:tc>
          <w:tcPr>
            <w:tcW w:type="dxa" w:w="107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2010</w:t>
            </w:r>
          </w:p>
        </w:tc>
        <w:tc>
          <w:tcPr>
            <w:tcW w:type="dxa" w:w="239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sz w:val="24"/>
                <w:szCs w:val="24"/>
              </w:rPr>
              <w:t>Kullanılmakta</w:t>
            </w:r>
          </w:p>
        </w:tc>
        <w:tc>
          <w:tcPr>
            <w:tcW w:type="dxa" w:w="145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w:t>
            </w:r>
          </w:p>
        </w:tc>
      </w:tr>
    </w:tbl>
    <w:p>
      <w:pPr>
        <w:pStyle w:val="style38"/>
        <w:ind w:firstLine="708" w:left="0" w:right="0"/>
        <w:jc w:val="both"/>
      </w:pPr>
      <w:r>
        <w:rPr>
          <w:rFonts w:ascii="Times New Roman" w:cs="Times New Roman" w:hAnsi="Times New Roman"/>
          <w:b/>
          <w:sz w:val="24"/>
          <w:szCs w:val="24"/>
        </w:rPr>
        <w:t xml:space="preserve">2015 YILI GELİR ve GİDER BÜTÇESİ: </w:t>
      </w:r>
    </w:p>
    <w:p>
      <w:pPr>
        <w:pStyle w:val="style38"/>
        <w:ind w:firstLine="708" w:left="0" w:right="0"/>
        <w:jc w:val="both"/>
      </w:pPr>
      <w:r>
        <w:rPr/>
      </w:r>
    </w:p>
    <w:p>
      <w:pPr>
        <w:pStyle w:val="style38"/>
        <w:jc w:val="both"/>
      </w:pPr>
      <w:r>
        <w:rPr>
          <w:rFonts w:ascii="Times New Roman" w:cs="Times New Roman" w:hAnsi="Times New Roman"/>
          <w:sz w:val="24"/>
          <w:szCs w:val="24"/>
        </w:rPr>
        <w:t>2015 Yılı Toplam Geliri : 144.962,16 TL</w:t>
      </w:r>
    </w:p>
    <w:p>
      <w:pPr>
        <w:pStyle w:val="style38"/>
        <w:jc w:val="both"/>
      </w:pPr>
      <w:r>
        <w:rPr>
          <w:rFonts w:ascii="Times New Roman" w:cs="Times New Roman" w:hAnsi="Times New Roman"/>
          <w:sz w:val="24"/>
          <w:szCs w:val="24"/>
        </w:rPr>
        <w:t xml:space="preserve">2015 Yılı Toplam Gideri : 271.380,13 TL </w:t>
      </w:r>
    </w:p>
    <w:p>
      <w:pPr>
        <w:pStyle w:val="style38"/>
        <w:jc w:val="both"/>
      </w:pPr>
      <w:r>
        <w:rPr>
          <w:rFonts w:ascii="Times New Roman" w:cs="Times New Roman" w:hAnsi="Times New Roman"/>
          <w:sz w:val="24"/>
          <w:szCs w:val="24"/>
        </w:rPr>
        <w:t>2015 yılı Tahmini Bütçeleri 440.000,00 TL olup ödenek üstü harcama yapılmıştır.</w:t>
      </w:r>
    </w:p>
    <w:p>
      <w:pPr>
        <w:pStyle w:val="style38"/>
        <w:jc w:val="both"/>
      </w:pPr>
      <w:r>
        <w:rPr>
          <w:rFonts w:ascii="Times New Roman" w:cs="Times New Roman" w:hAnsi="Times New Roman"/>
          <w:sz w:val="24"/>
          <w:szCs w:val="24"/>
        </w:rPr>
        <w:t>2015 Yılı Gelir Tahakkuku 226.859,60 TL,</w:t>
      </w:r>
    </w:p>
    <w:p>
      <w:pPr>
        <w:pStyle w:val="style38"/>
        <w:jc w:val="both"/>
      </w:pPr>
      <w:r>
        <w:rPr>
          <w:rFonts w:ascii="Times New Roman" w:cs="Times New Roman" w:hAnsi="Times New Roman"/>
          <w:sz w:val="24"/>
          <w:szCs w:val="24"/>
        </w:rPr>
        <w:t>2015 Yılı Net Tahsilatı 144.962,16 TL,</w:t>
      </w:r>
    </w:p>
    <w:p>
      <w:pPr>
        <w:pStyle w:val="style38"/>
        <w:jc w:val="both"/>
      </w:pPr>
      <w:r>
        <w:rPr>
          <w:rFonts w:ascii="Times New Roman" w:cs="Times New Roman" w:hAnsi="Times New Roman"/>
          <w:sz w:val="24"/>
          <w:szCs w:val="24"/>
        </w:rPr>
        <w:t>Gelirlerden Takipli Alacaklar Hesabı 164.917,50 TL olarak gerçekleşmiştir.</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75"/>
        <w:gridCol w:w="4913"/>
        <w:gridCol w:w="1816"/>
      </w:tblGrid>
      <w:tr>
        <w:trPr>
          <w:trHeight w:hRule="atLeast" w:val="315"/>
          <w:cantSplit w:val="false"/>
        </w:trPr>
        <w:tc>
          <w:tcPr>
            <w:tcW w:type="dxa" w:w="8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1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GELİRLERİ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7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Su Hizmetlerine İlişkin Gelirler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140.467,16</w:t>
            </w:r>
          </w:p>
        </w:tc>
      </w:tr>
      <w:tr>
        <w:trPr>
          <w:trHeight w:hRule="atLeast" w:val="315"/>
          <w:cantSplit w:val="false"/>
        </w:trPr>
        <w:tc>
          <w:tcPr>
            <w:tcW w:type="dxa" w:w="87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Diğer Çeşitli Gelirler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4.495,00</w:t>
            </w:r>
          </w:p>
        </w:tc>
      </w:tr>
      <w:tr>
        <w:trPr>
          <w:trHeight w:hRule="atLeast" w:val="315"/>
          <w:cantSplit w:val="false"/>
        </w:trPr>
        <w:tc>
          <w:tcPr>
            <w:tcW w:type="dxa" w:w="87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bCs/>
                <w:sz w:val="24"/>
                <w:szCs w:val="24"/>
                <w:lang w:eastAsia="tr-TR"/>
              </w:rPr>
              <w:t>TOPLAM GELİR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144.962,16</w:t>
            </w:r>
          </w:p>
        </w:tc>
      </w:tr>
    </w:tbl>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43"/>
        <w:gridCol w:w="4947"/>
        <w:gridCol w:w="1816"/>
      </w:tblGrid>
      <w:tr>
        <w:trPr>
          <w:trHeight w:hRule="atLeast" w:val="315"/>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GİDERLERİ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Personel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Times New Roman" w:eastAsia="Times New Roman"/>
                <w:color w:val="000000"/>
                <w:sz w:val="24"/>
                <w:szCs w:val="24"/>
                <w:lang w:eastAsia="tr-TR"/>
              </w:rPr>
              <w:t>157.211,44</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Mal ve Hizmet Alım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112.048,69</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Diğer Taşınmaz Bakım Onarım Gideri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2.120,00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TOPLAM GİDER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271.380,13</w:t>
            </w:r>
          </w:p>
        </w:tc>
      </w:tr>
    </w:tbl>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Şeklinde gerçekleştiği, kasa mevcudunun Yönetim Kurulu tarafından belirlenmesi gerekirken belirlenmediği tespit edilmiştir.</w:t>
      </w:r>
    </w:p>
    <w:p>
      <w:pPr>
        <w:pStyle w:val="style38"/>
        <w:ind w:firstLine="708" w:left="0" w:right="0"/>
        <w:jc w:val="both"/>
      </w:pPr>
      <w:r>
        <w:rPr>
          <w:rFonts w:ascii="Times New Roman" w:cs="Times New Roman" w:hAnsi="Times New Roman"/>
          <w:sz w:val="24"/>
          <w:szCs w:val="24"/>
        </w:rPr>
        <w:t>103 Verilen Çekler Alacak Hesabı  222.641,59 TL kesin mizanda gözükmesine rağmen büyük defterde 222.931,48 TL olarak gözükmektedir.</w:t>
      </w:r>
    </w:p>
    <w:p>
      <w:pPr>
        <w:pStyle w:val="style38"/>
        <w:ind w:firstLine="708" w:left="0" w:right="0"/>
        <w:jc w:val="both"/>
      </w:pPr>
      <w:r>
        <w:rPr>
          <w:rFonts w:ascii="Times New Roman" w:cs="Times New Roman" w:hAnsi="Times New Roman"/>
          <w:sz w:val="24"/>
          <w:szCs w:val="24"/>
        </w:rPr>
        <w:t xml:space="preserve">320 Bütçe Emanetleri Hesabının alacak kaydı 1.200,00 TL kesin mizan ile defter kaydı tutarsızlığı gözükmektedir. </w:t>
      </w:r>
    </w:p>
    <w:p>
      <w:pPr>
        <w:pStyle w:val="style38"/>
        <w:ind w:firstLine="708" w:left="0" w:right="0"/>
        <w:jc w:val="both"/>
      </w:pPr>
      <w:r>
        <w:rPr>
          <w:rFonts w:ascii="Times New Roman" w:cs="Times New Roman" w:hAnsi="Times New Roman"/>
          <w:sz w:val="24"/>
          <w:szCs w:val="24"/>
        </w:rPr>
        <w:t>630 Giderler Hesabının borç kaydı ile kesin mizan ile büyük defter arasında 6.489,89 TL farklı olduğu görülmüştür.</w:t>
      </w:r>
    </w:p>
    <w:p>
      <w:pPr>
        <w:pStyle w:val="style38"/>
        <w:ind w:firstLine="708" w:left="0" w:right="0"/>
        <w:jc w:val="both"/>
      </w:pPr>
      <w:r>
        <w:rPr>
          <w:rFonts w:ascii="Times New Roman" w:cs="Times New Roman" w:hAnsi="Times New Roman"/>
          <w:sz w:val="24"/>
          <w:szCs w:val="24"/>
        </w:rPr>
        <w:t>Bütçe gelir ve gider icmal cetvelleri oluşturulmamış,</w:t>
      </w:r>
    </w:p>
    <w:p>
      <w:pPr>
        <w:pStyle w:val="style38"/>
        <w:ind w:firstLine="708" w:left="0" w:right="0"/>
        <w:jc w:val="both"/>
      </w:pPr>
      <w:r>
        <w:rPr>
          <w:rFonts w:ascii="Times New Roman" w:cs="Times New Roman" w:hAnsi="Times New Roman"/>
          <w:sz w:val="24"/>
          <w:szCs w:val="24"/>
        </w:rPr>
        <w:t>2015 yılı Bütçe Uygulama Hesabı çalıştırılmamıştır,</w:t>
      </w:r>
    </w:p>
    <w:p>
      <w:pPr>
        <w:pStyle w:val="style38"/>
        <w:ind w:firstLine="708" w:left="0" w:right="0"/>
        <w:jc w:val="both"/>
      </w:pPr>
      <w:r>
        <w:rPr>
          <w:rFonts w:ascii="Times New Roman" w:cs="Times New Roman" w:hAnsi="Times New Roman"/>
          <w:sz w:val="24"/>
          <w:szCs w:val="24"/>
        </w:rPr>
        <w:t>Gelir Tahakkukları Hesabı ile Gelirlerden Takipli Alacaklar Hesabı uyumsuzluğu gözükmektedir,</w:t>
      </w:r>
    </w:p>
    <w:p>
      <w:pPr>
        <w:pStyle w:val="style38"/>
        <w:ind w:firstLine="708" w:left="0" w:right="0"/>
        <w:jc w:val="both"/>
      </w:pPr>
      <w:r>
        <w:rPr>
          <w:rFonts w:ascii="Times New Roman" w:cs="Times New Roman" w:hAnsi="Times New Roman"/>
          <w:sz w:val="24"/>
          <w:szCs w:val="24"/>
        </w:rPr>
        <w:t>Yılsonu kesin hesapları ve yönetim dönemi dosyası oluşturulmamıştır.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MECLİS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Meclis toplantılarının, 6172 sayılı Sulama Birlikleri Kanunu ve birlik Ana Statüsünde belirtildiği şekilde “Nisan ve Kasım” aylarında olmak üzere usulüne uygun olarak yılda iki defa olağan şekilde toplandığı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YÖNETİM KURULU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Yönetim Kurulunun 2015 yılındaocak, şubat, mart ve nisan aylarında ayda bir kez, diğer aylarda iki kez toplandığı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DENETİM KURULU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Denetim kurulunun 2015 yılında, Birlik Ana Statüsünün 36’ncı maddesinde belirtildiği şekilde, meclis olağan toplantılarından önce yılda iki kez toplandığı ve rapor hazırladığı tespit edilmiştir.</w:t>
      </w:r>
    </w:p>
    <w:p>
      <w:pPr>
        <w:pStyle w:val="style38"/>
        <w:ind w:firstLine="708" w:left="0" w:right="0"/>
        <w:jc w:val="both"/>
      </w:pPr>
      <w:r>
        <w:rPr/>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BİRLİKTE TUTULAN DEFTERLER: </w:t>
      </w:r>
    </w:p>
    <w:p>
      <w:pPr>
        <w:pStyle w:val="style38"/>
        <w:ind w:firstLine="708" w:left="0" w:right="0"/>
        <w:jc w:val="both"/>
      </w:pPr>
      <w:r>
        <w:rPr/>
      </w:r>
    </w:p>
    <w:p>
      <w:pPr>
        <w:pStyle w:val="style38"/>
        <w:jc w:val="both"/>
      </w:pPr>
      <w:r>
        <w:rPr>
          <w:rFonts w:ascii="Times New Roman" w:cs="Times New Roman" w:hAnsi="Times New Roman"/>
          <w:sz w:val="24"/>
          <w:szCs w:val="24"/>
        </w:rPr>
        <w:t xml:space="preserve">1- Meclis ve Yönetim Kurulu Karar Defteri </w:t>
      </w:r>
    </w:p>
    <w:p>
      <w:pPr>
        <w:pStyle w:val="style38"/>
        <w:jc w:val="both"/>
      </w:pPr>
      <w:r>
        <w:rPr>
          <w:rFonts w:ascii="Times New Roman" w:cs="Times New Roman" w:hAnsi="Times New Roman"/>
          <w:sz w:val="24"/>
          <w:szCs w:val="24"/>
        </w:rPr>
        <w:t xml:space="preserve">2- Gelen ve Giden Evrak Kayıt Defteri </w:t>
      </w:r>
    </w:p>
    <w:p>
      <w:pPr>
        <w:pStyle w:val="style38"/>
        <w:jc w:val="both"/>
      </w:pPr>
      <w:r>
        <w:rPr>
          <w:rFonts w:ascii="Times New Roman" w:cs="Times New Roman" w:hAnsi="Times New Roman"/>
          <w:sz w:val="24"/>
          <w:szCs w:val="24"/>
        </w:rPr>
        <w:t xml:space="preserve">3- Üye Kayıt Defteri </w:t>
      </w:r>
    </w:p>
    <w:p>
      <w:pPr>
        <w:pStyle w:val="style38"/>
        <w:jc w:val="both"/>
      </w:pPr>
      <w:r>
        <w:rPr>
          <w:rFonts w:ascii="Times New Roman" w:cs="Times New Roman" w:hAnsi="Times New Roman"/>
          <w:sz w:val="24"/>
          <w:szCs w:val="24"/>
        </w:rPr>
        <w:t xml:space="preserve">4- Defteri Kebir, </w:t>
      </w:r>
    </w:p>
    <w:p>
      <w:pPr>
        <w:pStyle w:val="style38"/>
        <w:jc w:val="both"/>
      </w:pPr>
      <w:r>
        <w:rPr>
          <w:rFonts w:ascii="Times New Roman" w:cs="Times New Roman" w:hAnsi="Times New Roman"/>
          <w:sz w:val="24"/>
          <w:szCs w:val="24"/>
        </w:rPr>
        <w:t xml:space="preserve">5- Yevmiye Defteri </w:t>
      </w:r>
    </w:p>
    <w:p>
      <w:pPr>
        <w:pStyle w:val="style38"/>
        <w:jc w:val="both"/>
      </w:pPr>
      <w:r>
        <w:rPr>
          <w:rFonts w:ascii="Times New Roman" w:cs="Times New Roman" w:hAnsi="Times New Roman"/>
          <w:sz w:val="24"/>
          <w:szCs w:val="24"/>
        </w:rPr>
        <w:t xml:space="preserve">6- Envanter Defteri </w:t>
      </w:r>
    </w:p>
    <w:p>
      <w:pPr>
        <w:pStyle w:val="style38"/>
        <w:jc w:val="both"/>
      </w:pPr>
      <w:r>
        <w:rPr>
          <w:rFonts w:ascii="Times New Roman" w:cs="Times New Roman" w:hAnsi="Times New Roman"/>
          <w:sz w:val="24"/>
          <w:szCs w:val="24"/>
        </w:rPr>
        <w:t xml:space="preserve">7- Kasa Defteri </w:t>
      </w:r>
    </w:p>
    <w:p>
      <w:pPr>
        <w:pStyle w:val="style38"/>
        <w:jc w:val="both"/>
      </w:pPr>
      <w:r>
        <w:rPr>
          <w:rFonts w:ascii="Times New Roman" w:cs="Times New Roman" w:hAnsi="Times New Roman"/>
          <w:sz w:val="24"/>
          <w:szCs w:val="24"/>
        </w:rPr>
        <w:t xml:space="preserve">8- Demirbaş Defteri </w:t>
      </w:r>
    </w:p>
    <w:p>
      <w:pPr>
        <w:pStyle w:val="style38"/>
        <w:ind w:firstLine="708" w:left="0" w:right="0"/>
        <w:jc w:val="both"/>
      </w:pPr>
      <w:r>
        <w:rPr>
          <w:rFonts w:ascii="Times New Roman" w:cs="Times New Roman" w:hAnsi="Times New Roman"/>
          <w:sz w:val="24"/>
          <w:szCs w:val="24"/>
        </w:rPr>
        <w:t xml:space="preserve">Birlik Ana  Statüsünün  "Birliğin Tutacağı Defter ve Kayıtlar" başlıklı 55 . Maddesine göre birlikte; </w:t>
      </w:r>
    </w:p>
    <w:p>
      <w:pPr>
        <w:pStyle w:val="style38"/>
        <w:ind w:firstLine="708" w:left="0" w:right="0"/>
        <w:jc w:val="both"/>
      </w:pPr>
      <w:r>
        <w:rPr>
          <w:rFonts w:ascii="Times New Roman" w:cs="Times New Roman" w:hAnsi="Times New Roman"/>
          <w:sz w:val="24"/>
          <w:szCs w:val="24"/>
        </w:rPr>
        <w:t xml:space="preserve">Üye kayıt defterinin noter onaylı olarak tutulduğu, Meclis ve Yönetim Kurulu Karar Defterinin yazılı olarak tutulduğu fakat onaysız olduğu ve yılsonu kapanışlarının yapılmadığı, </w:t>
      </w:r>
    </w:p>
    <w:p>
      <w:pPr>
        <w:pStyle w:val="style38"/>
        <w:ind w:firstLine="708" w:left="0" w:right="0"/>
        <w:jc w:val="both"/>
      </w:pPr>
      <w:r>
        <w:rPr>
          <w:rFonts w:ascii="Times New Roman" w:cs="Times New Roman" w:hAnsi="Times New Roman"/>
          <w:sz w:val="24"/>
          <w:szCs w:val="24"/>
        </w:rPr>
        <w:t>Gelen ve giden Evrak kayıt defterinin tutulmadığı, Defteri Kebir, Yevmiye, Envanter, Kasa Defterinin bilgisayar ortamında tutulduğu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YÖNETMELİKLER:</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Meclisinin 26.11.2015 tarihli toplantısında alınan kararla;</w:t>
      </w:r>
    </w:p>
    <w:p>
      <w:pPr>
        <w:pStyle w:val="style38"/>
        <w:numPr>
          <w:ilvl w:val="0"/>
          <w:numId w:val="1"/>
        </w:numPr>
        <w:jc w:val="both"/>
      </w:pPr>
      <w:r>
        <w:rPr>
          <w:rFonts w:ascii="Times New Roman" w:cs="Times New Roman" w:hAnsi="Times New Roman"/>
          <w:sz w:val="24"/>
          <w:szCs w:val="24"/>
        </w:rPr>
        <w:t>Tarife, Ceza ve Tahsilat Yönetmeliği</w:t>
      </w:r>
    </w:p>
    <w:p>
      <w:pPr>
        <w:pStyle w:val="style38"/>
        <w:numPr>
          <w:ilvl w:val="0"/>
          <w:numId w:val="1"/>
        </w:numPr>
        <w:jc w:val="both"/>
      </w:pPr>
      <w:r>
        <w:rPr>
          <w:rFonts w:ascii="Times New Roman" w:cs="Times New Roman" w:hAnsi="Times New Roman"/>
          <w:sz w:val="24"/>
          <w:szCs w:val="24"/>
        </w:rPr>
        <w:t>Teşkilat Yapısı ve İnsan Kaynakları Yönetmeliği</w:t>
      </w:r>
    </w:p>
    <w:p>
      <w:pPr>
        <w:pStyle w:val="style38"/>
        <w:numPr>
          <w:ilvl w:val="0"/>
          <w:numId w:val="1"/>
        </w:numPr>
        <w:jc w:val="both"/>
      </w:pPr>
      <w:r>
        <w:rPr>
          <w:rFonts w:ascii="Times New Roman" w:cs="Times New Roman" w:hAnsi="Times New Roman"/>
          <w:sz w:val="24"/>
          <w:szCs w:val="24"/>
        </w:rPr>
        <w:t>Harcama Esasları Yönetmeliği</w:t>
      </w:r>
    </w:p>
    <w:p>
      <w:pPr>
        <w:pStyle w:val="style38"/>
        <w:numPr>
          <w:ilvl w:val="0"/>
          <w:numId w:val="1"/>
        </w:numPr>
        <w:ind w:hanging="360" w:left="708" w:right="0"/>
        <w:jc w:val="both"/>
      </w:pPr>
      <w:r>
        <w:rPr>
          <w:rFonts w:ascii="Times New Roman" w:cs="Times New Roman" w:hAnsi="Times New Roman"/>
          <w:sz w:val="24"/>
          <w:szCs w:val="24"/>
        </w:rPr>
        <w:t>Disiplin Yönetmeliğiçıkararak uygulamaya koyduğu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İŞLETME VE BAKIM FAALİYETLERİ: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sulama sezonu öncesinde beyanname aldığı ve sözleşme imzaladığı,</w:t>
      </w:r>
    </w:p>
    <w:p>
      <w:pPr>
        <w:pStyle w:val="style38"/>
        <w:ind w:firstLine="708" w:left="0" w:right="0"/>
        <w:jc w:val="both"/>
      </w:pPr>
      <w:r>
        <w:rPr>
          <w:rFonts w:ascii="Times New Roman" w:cs="Times New Roman" w:hAnsi="Times New Roman"/>
          <w:sz w:val="24"/>
          <w:szCs w:val="24"/>
        </w:rPr>
        <w:t>Birliğin sulama sezonu öncesinde”Genel Sulama Planlaması” yaptığı, “Su Kullanım Protokolü ”nü düzenlediği, sulama sezonu sonunda ise “Planlı Su Dağıtım Uygulama Raporları” hazırladıkları,</w:t>
      </w:r>
    </w:p>
    <w:p>
      <w:pPr>
        <w:pStyle w:val="style38"/>
        <w:ind w:firstLine="708" w:left="0" w:right="0"/>
        <w:jc w:val="both"/>
      </w:pPr>
      <w:r>
        <w:rPr>
          <w:rFonts w:ascii="Times New Roman" w:cs="Times New Roman" w:hAnsi="Times New Roman"/>
          <w:sz w:val="24"/>
          <w:szCs w:val="24"/>
        </w:rPr>
        <w:t xml:space="preserve">Sulama sezonunda rotasyon uygulandığı ve gece sulamasının da yapıldığı, </w:t>
      </w:r>
    </w:p>
    <w:p>
      <w:pPr>
        <w:pStyle w:val="style38"/>
        <w:ind w:firstLine="708" w:left="0" w:right="0"/>
        <w:jc w:val="both"/>
      </w:pPr>
      <w:r>
        <w:rPr>
          <w:rFonts w:ascii="Times New Roman" w:cs="Times New Roman" w:hAnsi="Times New Roman"/>
          <w:sz w:val="24"/>
          <w:szCs w:val="24"/>
        </w:rPr>
        <w:t>Sulama ücret tarifelerinin dekar başına, Bakanlar Kurulu kararınca belirlenen yılı sulama ücret tarifesine uygun olarak ürün bazında belirlendiği ve DSİ’ce onaylandığı,</w:t>
      </w:r>
    </w:p>
    <w:p>
      <w:pPr>
        <w:pStyle w:val="style38"/>
        <w:ind w:firstLine="708" w:left="0" w:right="0"/>
        <w:jc w:val="both"/>
      </w:pPr>
      <w:r>
        <w:rPr>
          <w:rFonts w:ascii="Times New Roman" w:cs="Times New Roman" w:hAnsi="Times New Roman"/>
          <w:sz w:val="24"/>
          <w:szCs w:val="24"/>
        </w:rPr>
        <w:t>Sulama sezonu öncesi birlik personeli ve iş makinaları ile kanal temizliklerinin yapıldığı, gerekli bakım onarımın tamamlandığı,</w:t>
      </w:r>
    </w:p>
    <w:p>
      <w:pPr>
        <w:pStyle w:val="style38"/>
        <w:ind w:firstLine="708" w:left="0" w:right="0"/>
        <w:jc w:val="both"/>
      </w:pPr>
      <w:r>
        <w:rPr>
          <w:rFonts w:ascii="Times New Roman" w:cs="Times New Roman" w:hAnsi="Times New Roman"/>
          <w:sz w:val="24"/>
          <w:szCs w:val="24"/>
        </w:rPr>
        <w:t>Şebeke dışı alanlara su verilmediği,</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DEĞERLENDİRME  VE  ÖNERİLER: </w:t>
      </w:r>
    </w:p>
    <w:p>
      <w:pPr>
        <w:pStyle w:val="style38"/>
        <w:ind w:firstLine="708" w:left="0" w:right="0"/>
        <w:jc w:val="both"/>
      </w:pPr>
      <w:r>
        <w:rPr/>
      </w:r>
    </w:p>
    <w:p>
      <w:pPr>
        <w:pStyle w:val="style45"/>
        <w:ind w:hanging="0" w:left="142" w:right="0"/>
      </w:pPr>
      <w:r>
        <w:rPr>
          <w:rFonts w:cs="Times New Roman"/>
          <w:sz w:val="24"/>
          <w:szCs w:val="24"/>
        </w:rPr>
        <w:t>3628 sayılı Mal Bildiriminde Bulunulması, Rüşvet ve Yolsuzluklarla Mücadele Kanunu’nun 2. Maddesinin (f) bendi gereği, birlik başkanı, yönetim kurulu üyeleri ve birlik müdürünün mal bildiriminde bulunması gerektiği halde herhangi bir mal bildiriminde bulunulmadığı,</w:t>
      </w:r>
    </w:p>
    <w:p>
      <w:pPr>
        <w:pStyle w:val="style45"/>
        <w:ind w:hanging="0" w:left="142" w:right="0"/>
      </w:pPr>
      <w:r>
        <w:rPr>
          <w:rFonts w:cs="Times New Roman"/>
          <w:sz w:val="24"/>
          <w:szCs w:val="24"/>
        </w:rPr>
        <w:t>Yönetim kurulunun mal bildirimi yok, iş sağlığı eğitimi almamışlar</w:t>
      </w:r>
    </w:p>
    <w:p>
      <w:pPr>
        <w:pStyle w:val="style45"/>
        <w:ind w:hanging="0" w:left="142" w:right="0"/>
      </w:pPr>
      <w:r>
        <w:rPr>
          <w:rFonts w:cs="Times New Roman"/>
          <w:sz w:val="24"/>
          <w:szCs w:val="24"/>
        </w:rPr>
        <w:t>Yönetim kurulunun kanun ve anastatüde belirtildiği şekilde ayda iki kez toplanması gerekirken 2015 yılında Ocak ve Aralık aylarında hiç toplanmadığı, Ekim ayında ise 1 kez toplandığı tespit edilmiştir.</w:t>
      </w:r>
    </w:p>
    <w:p>
      <w:pPr>
        <w:pStyle w:val="style45"/>
        <w:ind w:hanging="0" w:left="142" w:right="0"/>
      </w:pPr>
      <w:r>
        <w:rPr>
          <w:rFonts w:cs="Times New Roman"/>
          <w:sz w:val="24"/>
          <w:szCs w:val="24"/>
        </w:rPr>
        <w:t>Boşalan yönetim kurulu yedek üyeleri için seçim yapılmadığı, Başkan vekili tayin edilmediği, İş Sağlığı ve Güvenliği hususlarında yönetim kurulunca karar alınmış olmasına rağmen herhangi bir çalışma yapılmadığı tespit edilmiştir.</w:t>
      </w:r>
    </w:p>
    <w:p>
      <w:pPr>
        <w:pStyle w:val="style0"/>
        <w:ind w:firstLine="708" w:left="0" w:right="0"/>
        <w:jc w:val="both"/>
      </w:pPr>
      <w:r>
        <w:rPr>
          <w:rFonts w:cs="Times New Roman"/>
          <w:sz w:val="24"/>
          <w:szCs w:val="24"/>
        </w:rPr>
        <w:t>Mali kayıtlarda çalışan hesapların denkliğinin sağlanması, yönetmelikte belirtilen cetvel ve büyük defterlerin kesin hesap dosyasının çıkartılması,</w:t>
      </w:r>
    </w:p>
    <w:p>
      <w:pPr>
        <w:pStyle w:val="style0"/>
        <w:ind w:firstLine="708" w:left="0" w:right="0"/>
        <w:jc w:val="both"/>
      </w:pPr>
      <w:r>
        <w:rPr>
          <w:rFonts w:cs="Times New Roman"/>
          <w:sz w:val="24"/>
          <w:szCs w:val="24"/>
        </w:rPr>
        <w:t>Harcama belgelerinin yönetmelikte belirtildiği gibi harcama yetkilisince onaylanması,</w:t>
      </w:r>
    </w:p>
    <w:p>
      <w:pPr>
        <w:pStyle w:val="style38"/>
        <w:ind w:firstLine="708" w:left="0" w:right="0"/>
      </w:pPr>
      <w:r>
        <w:rPr>
          <w:rFonts w:ascii="Times New Roman" w:cs="Times New Roman" w:hAnsi="Times New Roman"/>
          <w:sz w:val="24"/>
          <w:szCs w:val="24"/>
        </w:rPr>
        <w:t>Kamu ödemeleri yapılırken onay belgesinin düzenlenmesi,</w:t>
      </w:r>
    </w:p>
    <w:p>
      <w:pPr>
        <w:pStyle w:val="style38"/>
        <w:ind w:firstLine="708" w:left="0" w:right="0"/>
      </w:pPr>
      <w:r>
        <w:rPr>
          <w:rFonts w:ascii="Times New Roman" w:cs="Times New Roman" w:hAnsi="Times New Roman"/>
          <w:sz w:val="24"/>
          <w:szCs w:val="24"/>
        </w:rPr>
        <w:t>Hesapların zamanında ve doğru olarak günü birlik çalıştırılmasının sağlanması, gecikmeye mahal verilmemesi gerekmektedir.</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İş bu rapor komisyonumuz tarafından Valilik Makamına sunulmak üzere 3 (üç) suret olarak hazırlanmıştır. 06/09/2016</w:t>
      </w:r>
    </w:p>
    <w:p>
      <w:pPr>
        <w:pStyle w:val="style38"/>
        <w:jc w:val="both"/>
      </w:pPr>
      <w:r>
        <w:rPr/>
      </w:r>
    </w:p>
    <w:p>
      <w:pPr>
        <w:pStyle w:val="style38"/>
        <w:jc w:val="both"/>
      </w:pPr>
      <w:r>
        <w:rPr/>
      </w:r>
    </w:p>
    <w:p>
      <w:pPr>
        <w:pStyle w:val="style38"/>
        <w:jc w:val="both"/>
      </w:pPr>
      <w:r>
        <w:rPr/>
      </w:r>
    </w:p>
    <w:p>
      <w:pPr>
        <w:pStyle w:val="style38"/>
        <w:jc w:val="both"/>
      </w:pPr>
      <w:r>
        <w:rPr/>
      </w:r>
    </w:p>
    <w:p>
      <w:pPr>
        <w:pStyle w:val="style38"/>
        <w:jc w:val="center"/>
      </w:pPr>
      <w:r>
        <w:rPr>
          <w:rFonts w:ascii="Times New Roman" w:cs="Times New Roman" w:hAnsi="Times New Roman"/>
          <w:sz w:val="24"/>
          <w:szCs w:val="24"/>
        </w:rPr>
        <w:t>KOORDİNATÖR</w:t>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Baha BAŞÇELİK</w:t>
      </w:r>
    </w:p>
    <w:p>
      <w:pPr>
        <w:pStyle w:val="style38"/>
        <w:jc w:val="center"/>
      </w:pPr>
      <w:r>
        <w:rPr>
          <w:rFonts w:ascii="Times New Roman" w:cs="Times New Roman" w:hAnsi="Times New Roman"/>
          <w:sz w:val="24"/>
          <w:szCs w:val="24"/>
        </w:rPr>
        <w:t>Vali Yardımcısı</w:t>
      </w:r>
    </w:p>
    <w:p>
      <w:pPr>
        <w:pStyle w:val="style0"/>
        <w:jc w:val="center"/>
      </w:pPr>
      <w:bookmarkStart w:id="17" w:name="_GoBack"/>
      <w:bookmarkStart w:id="18" w:name="_GoBack"/>
      <w:bookmarkEnd w:id="18"/>
      <w:r>
        <w:rPr/>
      </w:r>
    </w:p>
    <w:p>
      <w:pPr>
        <w:pStyle w:val="style0"/>
        <w:jc w:val="center"/>
      </w:pPr>
      <w:r>
        <w:rPr/>
      </w:r>
    </w:p>
    <w:p>
      <w:pPr>
        <w:pStyle w:val="style38"/>
        <w:jc w:val="center"/>
      </w:pPr>
      <w:r>
        <w:rPr>
          <w:rFonts w:ascii="Times New Roman" w:cs="Times New Roman" w:hAnsi="Times New Roman"/>
          <w:sz w:val="24"/>
          <w:szCs w:val="24"/>
        </w:rPr>
        <w:t>BAŞKAN</w:t>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Necip GÖKÇEK</w:t>
      </w:r>
    </w:p>
    <w:p>
      <w:pPr>
        <w:pStyle w:val="style38"/>
        <w:jc w:val="center"/>
      </w:pPr>
      <w:r>
        <w:rPr>
          <w:rFonts w:ascii="Times New Roman" w:cs="Times New Roman" w:hAnsi="Times New Roman"/>
          <w:sz w:val="24"/>
          <w:szCs w:val="24"/>
        </w:rPr>
        <w:t>İl Mahalli İdareler Şefi</w:t>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 xml:space="preserve">Fazıl GÜVEN  </w:t>
        <w:tab/>
        <w:tab/>
        <w:tab/>
        <w:tab/>
        <w:tab/>
        <w:t xml:space="preserve">    Bekir AKBIYIK</w:t>
      </w:r>
    </w:p>
    <w:p>
      <w:pPr>
        <w:pStyle w:val="style0"/>
        <w:spacing w:after="0" w:before="0" w:line="100" w:lineRule="atLeast"/>
        <w:contextualSpacing w:val="false"/>
      </w:pPr>
      <w:r>
        <w:rPr>
          <w:rFonts w:cs="Times New Roman"/>
          <w:sz w:val="24"/>
          <w:szCs w:val="24"/>
        </w:rPr>
        <w:tab/>
        <w:t xml:space="preserve">         Valilik Uzmanı   </w:t>
        <w:tab/>
        <w:tab/>
        <w:tab/>
        <w:tab/>
        <w:t xml:space="preserve">            Defterdarlık VHKİ</w:t>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İclal ÖZKAN</w:t>
        <w:tab/>
        <w:tab/>
        <w:tab/>
        <w:tab/>
        <w:tab/>
        <w:tab/>
        <w:t>Arif ÇAĞLAYAN</w:t>
      </w:r>
    </w:p>
    <w:p>
      <w:pPr>
        <w:pStyle w:val="style0"/>
        <w:tabs>
          <w:tab w:leader="none" w:pos="5907" w:val="left"/>
        </w:tabs>
        <w:spacing w:after="0" w:before="0" w:line="100" w:lineRule="atLeast"/>
        <w:contextualSpacing w:val="false"/>
        <w:jc w:val="center"/>
      </w:pPr>
      <w:r>
        <w:rPr>
          <w:rFonts w:cs="Times New Roman"/>
          <w:sz w:val="24"/>
          <w:szCs w:val="24"/>
        </w:rPr>
        <w:t>DSİ 12.Böl.Md.Zir.Müh.                                            GTHB İl Md.Zir.Müh.</w:t>
      </w:r>
    </w:p>
    <w:p>
      <w:pPr>
        <w:pStyle w:val="style38"/>
        <w:ind w:firstLine="708" w:left="0" w:right="0"/>
        <w:jc w:val="both"/>
      </w:pPr>
      <w:r>
        <w:rPr/>
      </w:r>
    </w:p>
    <w:p>
      <w:pPr>
        <w:pStyle w:val="style0"/>
      </w:pPr>
      <w:r>
        <w:rPr/>
      </w:r>
    </w:p>
    <w:p>
      <w:pPr>
        <w:pStyle w:val="style0"/>
      </w:pPr>
      <w:r>
        <w:rPr/>
      </w:r>
    </w:p>
    <w:p>
      <w:pPr>
        <w:pStyle w:val="style0"/>
      </w:pPr>
      <w:r>
        <w:rPr/>
      </w:r>
    </w:p>
    <w:p>
      <w:pPr>
        <w:pStyle w:val="style0"/>
        <w:jc w:val="center"/>
      </w:pPr>
      <w:r>
        <w:rPr/>
      </w:r>
    </w:p>
    <w:sectPr>
      <w:footerReference r:id="rId2" w:type="default"/>
      <w:type w:val="nextPage"/>
      <w:pgSz w:h="16838" w:w="11906"/>
      <w:pgMar w:bottom="851" w:footer="709" w:gutter="0" w:header="0" w:left="1418" w:right="1134"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ftr>
</file>

<file path=word/numbering.xml><?xml version="1.0" encoding="utf-8"?>
<w:numbering xmlns:w="http://schemas.openxmlformats.org/wordprocessingml/2006/main">
  <w:abstractNum w:abstractNumId="1">
    <w:lvl w:ilvl="0">
      <w:start w:val="2015"/>
      <w:numFmt w:val="bullet"/>
      <w:lvlText w:val="-"/>
      <w:lvlJc w:val="left"/>
      <w:pPr>
        <w:ind w:hanging="360" w:left="1068"/>
      </w:pPr>
      <w:rPr>
        <w:rFonts w:ascii="Times New Roman" w:cs="Times New Roman" w:hAnsi="Times New Roman"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Varsayılan"/>
    <w:next w:val="style0"/>
    <w:pPr>
      <w:widowControl/>
      <w:tabs/>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tr-TR"/>
    </w:rPr>
  </w:style>
  <w:style w:styleId="style1" w:type="paragraph">
    <w:name w:val="Başlık 1"/>
    <w:basedOn w:val="style0"/>
    <w:next w:val="style34"/>
    <w:pPr>
      <w:keepNext/>
      <w:keepLines/>
      <w:spacing w:after="0" w:before="240"/>
      <w:contextualSpacing w:val="false"/>
    </w:pPr>
    <w:rPr>
      <w:rFonts w:ascii="Cambria" w:cs="" w:hAnsi="Cambria"/>
      <w:b/>
      <w:bCs/>
      <w:color w:val="365F91"/>
      <w:sz w:val="32"/>
      <w:szCs w:val="32"/>
    </w:rPr>
  </w:style>
  <w:style w:styleId="style15" w:type="character">
    <w:name w:val="Default Paragraph Font"/>
    <w:next w:val="style15"/>
    <w:rPr/>
  </w:style>
  <w:style w:styleId="style16" w:type="character">
    <w:name w:val="Balon Metni Char"/>
    <w:basedOn w:val="style15"/>
    <w:next w:val="style16"/>
    <w:rPr>
      <w:rFonts w:ascii="Tahoma" w:cs="Tahoma" w:hAnsi="Tahoma"/>
      <w:sz w:val="16"/>
      <w:szCs w:val="16"/>
    </w:rPr>
  </w:style>
  <w:style w:styleId="style17" w:type="character">
    <w:name w:val="Başlık 1 Char"/>
    <w:basedOn w:val="style15"/>
    <w:next w:val="style17"/>
    <w:rPr>
      <w:rFonts w:ascii="Cambria" w:cs="" w:hAnsi="Cambria"/>
      <w:color w:val="365F91"/>
      <w:sz w:val="32"/>
      <w:szCs w:val="32"/>
    </w:rPr>
  </w:style>
  <w:style w:styleId="style18" w:type="character">
    <w:name w:val="Üstbilgi Char"/>
    <w:basedOn w:val="style15"/>
    <w:next w:val="style18"/>
    <w:rPr/>
  </w:style>
  <w:style w:styleId="style19" w:type="character">
    <w:name w:val="Altbilgi Char"/>
    <w:basedOn w:val="style15"/>
    <w:next w:val="style19"/>
    <w:rPr/>
  </w:style>
  <w:style w:styleId="style20" w:type="character">
    <w:name w:val="annotation reference"/>
    <w:basedOn w:val="style15"/>
    <w:next w:val="style20"/>
    <w:rPr>
      <w:sz w:val="16"/>
      <w:szCs w:val="16"/>
    </w:rPr>
  </w:style>
  <w:style w:styleId="style21" w:type="character">
    <w:name w:val="Açıklama Metni Char"/>
    <w:basedOn w:val="style15"/>
    <w:next w:val="style21"/>
    <w:rPr>
      <w:sz w:val="20"/>
      <w:szCs w:val="20"/>
    </w:rPr>
  </w:style>
  <w:style w:styleId="style22" w:type="character">
    <w:name w:val="Açıklama Konusu Char"/>
    <w:basedOn w:val="style21"/>
    <w:next w:val="style22"/>
    <w:rPr>
      <w:b/>
      <w:bCs/>
      <w:sz w:val="20"/>
      <w:szCs w:val="20"/>
    </w:rPr>
  </w:style>
  <w:style w:styleId="style23" w:type="character">
    <w:name w:val="ListLabel 1"/>
    <w:next w:val="style23"/>
    <w:rPr>
      <w:rFonts w:cs="Calibri"/>
    </w:rPr>
  </w:style>
  <w:style w:styleId="style24" w:type="character">
    <w:name w:val="ListLabel 2"/>
    <w:next w:val="style24"/>
    <w:rPr>
      <w:rFonts w:cs="Courier New"/>
    </w:rPr>
  </w:style>
  <w:style w:styleId="style25" w:type="character">
    <w:name w:val="ListLabel 3"/>
    <w:next w:val="style25"/>
    <w:rPr>
      <w:rFonts w:cs="Times New Roman"/>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ListLabel 6"/>
    <w:next w:val="style28"/>
    <w:rPr>
      <w:rFonts w:cs="Symbol"/>
    </w:rPr>
  </w:style>
  <w:style w:styleId="style29" w:type="character">
    <w:name w:val="ListLabel 7"/>
    <w:next w:val="style29"/>
    <w:rPr>
      <w:rFonts w:cs="Times New Roman"/>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paragraph">
    <w:name w:val="Başlık"/>
    <w:basedOn w:val="style0"/>
    <w:next w:val="style34"/>
    <w:pPr>
      <w:keepNext/>
      <w:spacing w:after="120" w:before="240"/>
      <w:contextualSpacing w:val="false"/>
    </w:pPr>
    <w:rPr>
      <w:rFonts w:ascii="Arial" w:cs="Mangal" w:eastAsia="Microsoft YaHei" w:hAnsi="Arial"/>
      <w:sz w:val="28"/>
      <w:szCs w:val="28"/>
    </w:rPr>
  </w:style>
  <w:style w:styleId="style34" w:type="paragraph">
    <w:name w:val="Metin gövdesi"/>
    <w:basedOn w:val="style0"/>
    <w:next w:val="style34"/>
    <w:pPr>
      <w:spacing w:after="120" w:before="0"/>
      <w:contextualSpacing w:val="false"/>
    </w:pPr>
    <w:rPr/>
  </w:style>
  <w:style w:styleId="style35" w:type="paragraph">
    <w:name w:val="Liste"/>
    <w:basedOn w:val="style34"/>
    <w:next w:val="style35"/>
    <w:pPr/>
    <w:rPr>
      <w:rFonts w:cs="Mangal"/>
    </w:rPr>
  </w:style>
  <w:style w:styleId="style36" w:type="paragraph">
    <w:name w:val="Resim Yazısı"/>
    <w:basedOn w:val="style0"/>
    <w:next w:val="style36"/>
    <w:pPr>
      <w:suppressLineNumbers/>
      <w:spacing w:after="120" w:before="120"/>
      <w:contextualSpacing w:val="false"/>
    </w:pPr>
    <w:rPr>
      <w:rFonts w:cs="Mangal"/>
      <w:i/>
      <w:iCs/>
      <w:sz w:val="24"/>
      <w:szCs w:val="24"/>
    </w:rPr>
  </w:style>
  <w:style w:styleId="style37" w:type="paragraph">
    <w:name w:val="Dizin"/>
    <w:basedOn w:val="style0"/>
    <w:next w:val="style37"/>
    <w:pPr>
      <w:suppressLineNumbers/>
    </w:pPr>
    <w:rPr>
      <w:rFonts w:cs="Mangal"/>
    </w:rPr>
  </w:style>
  <w:style w:styleId="style38" w:type="paragraph">
    <w:name w:val="No Spacing"/>
    <w:next w:val="style38"/>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tr-TR"/>
    </w:rPr>
  </w:style>
  <w:style w:styleId="style39" w:type="paragraph">
    <w:name w:val="Normal (Web)"/>
    <w:basedOn w:val="style0"/>
    <w:next w:val="style39"/>
    <w:pPr>
      <w:spacing w:after="28" w:before="28" w:line="100" w:lineRule="atLeast"/>
      <w:contextualSpacing w:val="false"/>
    </w:pPr>
    <w:rPr>
      <w:rFonts w:ascii="Times New Roman" w:cs="Times New Roman" w:eastAsia="Times New Roman" w:hAnsi="Times New Roman"/>
      <w:sz w:val="24"/>
      <w:szCs w:val="24"/>
      <w:lang w:eastAsia="tr-TR"/>
    </w:rPr>
  </w:style>
  <w:style w:styleId="style40" w:type="paragraph">
    <w:name w:val="Balloon Text"/>
    <w:basedOn w:val="style0"/>
    <w:next w:val="style40"/>
    <w:pPr>
      <w:spacing w:after="0" w:before="0" w:line="100" w:lineRule="atLeast"/>
      <w:contextualSpacing w:val="false"/>
    </w:pPr>
    <w:rPr>
      <w:rFonts w:ascii="Tahoma" w:cs="Tahoma" w:hAnsi="Tahoma"/>
      <w:sz w:val="16"/>
      <w:szCs w:val="16"/>
    </w:rPr>
  </w:style>
  <w:style w:styleId="style41" w:type="paragraph">
    <w:name w:val="Üst bilgi"/>
    <w:basedOn w:val="style0"/>
    <w:next w:val="style41"/>
    <w:pPr>
      <w:suppressLineNumbers/>
      <w:tabs>
        <w:tab w:leader="none" w:pos="4536" w:val="center"/>
        <w:tab w:leader="none" w:pos="9072" w:val="right"/>
      </w:tabs>
      <w:spacing w:after="0" w:before="0" w:line="100" w:lineRule="atLeast"/>
      <w:contextualSpacing w:val="false"/>
    </w:pPr>
    <w:rPr/>
  </w:style>
  <w:style w:styleId="style42" w:type="paragraph">
    <w:name w:val="Alt bilgi"/>
    <w:basedOn w:val="style0"/>
    <w:next w:val="style42"/>
    <w:pPr>
      <w:suppressLineNumbers/>
      <w:tabs>
        <w:tab w:leader="none" w:pos="4536" w:val="center"/>
        <w:tab w:leader="none" w:pos="9072" w:val="right"/>
      </w:tabs>
      <w:spacing w:after="0" w:before="0" w:line="100" w:lineRule="atLeast"/>
      <w:contextualSpacing w:val="false"/>
    </w:pPr>
    <w:rPr/>
  </w:style>
  <w:style w:styleId="style43" w:type="paragraph">
    <w:name w:val="annotation text"/>
    <w:basedOn w:val="style0"/>
    <w:next w:val="style43"/>
    <w:pPr>
      <w:spacing w:line="100" w:lineRule="atLeast"/>
    </w:pPr>
    <w:rPr>
      <w:sz w:val="20"/>
      <w:szCs w:val="20"/>
    </w:rPr>
  </w:style>
  <w:style w:styleId="style44" w:type="paragraph">
    <w:name w:val="annotation subject"/>
    <w:basedOn w:val="style43"/>
    <w:next w:val="style44"/>
    <w:pPr/>
    <w:rPr>
      <w:b/>
      <w:bCs/>
    </w:rPr>
  </w:style>
  <w:style w:styleId="style45" w:type="paragraph">
    <w:name w:val="List Paragraph"/>
    <w:basedOn w:val="style0"/>
    <w:next w:val="style45"/>
    <w:pPr>
      <w:spacing w:after="200" w:before="0"/>
      <w:ind w:hanging="0" w:left="720" w:right="0"/>
      <w:contextualSpacing/>
    </w:pPr>
    <w:rPr/>
  </w:style>
  <w:style w:styleId="style46" w:type="paragraph">
    <w:name w:val="Çerçeve içeriği"/>
    <w:basedOn w:val="style34"/>
    <w:next w:val="style4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2015-03-06T14:25:00.00Z</dcterms:created>
  <dc:creator>necipgokcek</dc:creator>
  <cp:lastModifiedBy>fazilguven</cp:lastModifiedBy>
  <cp:lastPrinted>2016-09-01T16:10:34.27Z</cp:lastPrinted>
  <dcterms:modified xsi:type="dcterms:W3CDTF">2016-09-01T11:18:00.00Z</dcterms:modified>
  <cp:revision>29</cp:revision>
</cp:coreProperties>
</file>